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24"/>
          <w14:textFill>
            <w14:solidFill>
              <w14:schemeClr w14:val="tx1"/>
            </w14:solidFill>
          </w14:textFill>
        </w:rPr>
      </w:pPr>
    </w:p>
    <w:p>
      <w:pPr>
        <w:jc w:val="center"/>
        <w:rPr>
          <w:rFonts w:ascii="宋体"/>
          <w:b/>
          <w:color w:val="000000" w:themeColor="text1"/>
          <w:sz w:val="72"/>
          <w14:textFill>
            <w14:solidFill>
              <w14:schemeClr w14:val="tx1"/>
            </w14:solidFill>
          </w14:textFill>
        </w:rPr>
      </w:pPr>
    </w:p>
    <w:p>
      <w:pPr>
        <w:jc w:val="center"/>
        <w:rPr>
          <w:rFonts w:asci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公开招标采购文件</w:t>
      </w:r>
    </w:p>
    <w:p>
      <w:pPr>
        <w:rPr>
          <w:rFonts w:eastAsia="黑体"/>
          <w:color w:val="000000" w:themeColor="text1"/>
          <w:sz w:val="32"/>
          <w14:textFill>
            <w14:solidFill>
              <w14:schemeClr w14:val="tx1"/>
            </w14:solidFill>
          </w14:textFill>
        </w:rPr>
      </w:pPr>
    </w:p>
    <w:p>
      <w:pPr>
        <w:ind w:firstLine="1744" w:firstLineChars="545"/>
        <w:rPr>
          <w:rFonts w:ascii="宋体"/>
          <w:color w:val="000000" w:themeColor="text1"/>
          <w:sz w:val="32"/>
          <w14:textFill>
            <w14:solidFill>
              <w14:schemeClr w14:val="tx1"/>
            </w14:solidFill>
          </w14:textFill>
        </w:rPr>
      </w:pPr>
    </w:p>
    <w:p>
      <w:pPr>
        <w:spacing w:line="300" w:lineRule="auto"/>
        <w:ind w:firstLine="1606" w:firstLineChars="500"/>
        <w:rPr>
          <w:rFonts w:ascii="宋体"/>
          <w:b/>
          <w:color w:val="000000" w:themeColor="text1"/>
          <w:spacing w:val="20"/>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项目名称：南通大学启东校区2号教工公寓金刚纱网窗</w:t>
      </w:r>
    </w:p>
    <w:p>
      <w:pPr>
        <w:spacing w:line="360" w:lineRule="auto"/>
        <w:ind w:firstLine="1606" w:firstLineChars="500"/>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ascii="宋体" w:hAnsi="宋体"/>
          <w:b/>
          <w:color w:val="000000" w:themeColor="text1"/>
          <w:sz w:val="32"/>
          <w:szCs w:val="32"/>
          <w14:textFill>
            <w14:solidFill>
              <w14:schemeClr w14:val="tx1"/>
            </w14:solidFill>
          </w14:textFill>
        </w:rPr>
        <w:t>TDQJ-2021</w:t>
      </w:r>
      <w:r>
        <w:rPr>
          <w:rFonts w:ascii="宋体"/>
          <w:b/>
          <w:color w:val="000000" w:themeColor="text1"/>
          <w:sz w:val="32"/>
          <w:szCs w:val="32"/>
          <w14:textFill>
            <w14:solidFill>
              <w14:schemeClr w14:val="tx1"/>
            </w14:solidFill>
          </w14:textFill>
        </w:rPr>
        <w:t>-01</w:t>
      </w:r>
    </w:p>
    <w:p>
      <w:pPr>
        <w:jc w:val="center"/>
        <w:rPr>
          <w:rFonts w:eastAsia="黑体"/>
          <w:color w:val="000000" w:themeColor="text1"/>
          <w:sz w:val="36"/>
          <w:szCs w:val="36"/>
          <w:u w:val="single"/>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44"/>
          <w14:textFill>
            <w14:solidFill>
              <w14:schemeClr w14:val="tx1"/>
            </w14:solidFill>
          </w14:textFill>
        </w:rPr>
      </w:pPr>
    </w:p>
    <w:p>
      <w:pPr>
        <w:jc w:val="center"/>
        <w:rPr>
          <w:color w:val="000000" w:themeColor="text1"/>
          <w:sz w:val="44"/>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rPr>
          <w:rFonts w:eastAsia="黑体"/>
          <w:color w:val="000000" w:themeColor="text1"/>
          <w:sz w:val="32"/>
          <w14:textFill>
            <w14:solidFill>
              <w14:schemeClr w14:val="tx1"/>
            </w14:solidFill>
          </w14:textFill>
        </w:rPr>
      </w:pPr>
    </w:p>
    <w:p>
      <w:pPr>
        <w:jc w:val="center"/>
        <w:rPr>
          <w:rFonts w:ascii="宋体"/>
          <w:color w:val="000000" w:themeColor="text1"/>
          <w:sz w:val="32"/>
          <w14:textFill>
            <w14:solidFill>
              <w14:schemeClr w14:val="tx1"/>
            </w14:solidFill>
          </w14:textFill>
        </w:rPr>
      </w:pPr>
    </w:p>
    <w:p>
      <w:pPr>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南通大学启东校区建设指挥部</w:t>
      </w:r>
    </w:p>
    <w:p>
      <w:pPr>
        <w:pStyle w:val="18"/>
        <w:ind w:left="0" w:leftChars="0"/>
        <w:jc w:val="center"/>
        <w:rPr>
          <w:rFonts w:eastAsia="宋体"/>
          <w:b/>
          <w:color w:val="000000" w:themeColor="text1"/>
          <w:sz w:val="32"/>
          <w:szCs w:val="32"/>
          <w14:textFill>
            <w14:solidFill>
              <w14:schemeClr w14:val="tx1"/>
            </w14:solidFill>
          </w14:textFill>
        </w:rPr>
      </w:pPr>
      <w:r>
        <w:rPr>
          <w:rFonts w:eastAsia="宋体"/>
          <w:b/>
          <w:color w:val="000000" w:themeColor="text1"/>
          <w:sz w:val="32"/>
          <w:szCs w:val="32"/>
          <w14:textFill>
            <w14:solidFill>
              <w14:schemeClr w14:val="tx1"/>
            </w14:solidFill>
          </w14:textFill>
        </w:rPr>
        <w:t>2021</w:t>
      </w:r>
      <w:r>
        <w:rPr>
          <w:rFonts w:hint="eastAsia" w:eastAsia="宋体"/>
          <w:b/>
          <w:color w:val="000000" w:themeColor="text1"/>
          <w:sz w:val="32"/>
          <w:szCs w:val="32"/>
          <w14:textFill>
            <w14:solidFill>
              <w14:schemeClr w14:val="tx1"/>
            </w14:solidFill>
          </w14:textFill>
        </w:rPr>
        <w:t>年</w:t>
      </w:r>
      <w:r>
        <w:rPr>
          <w:rFonts w:eastAsia="宋体"/>
          <w:b/>
          <w:color w:val="000000" w:themeColor="text1"/>
          <w:sz w:val="32"/>
          <w:szCs w:val="32"/>
          <w14:textFill>
            <w14:solidFill>
              <w14:schemeClr w14:val="tx1"/>
            </w14:solidFill>
          </w14:textFill>
        </w:rPr>
        <w:t>5</w:t>
      </w:r>
      <w:r>
        <w:rPr>
          <w:rFonts w:hint="eastAsia" w:eastAsia="宋体"/>
          <w:b/>
          <w:color w:val="000000" w:themeColor="text1"/>
          <w:sz w:val="32"/>
          <w:szCs w:val="32"/>
          <w14:textFill>
            <w14:solidFill>
              <w14:schemeClr w14:val="tx1"/>
            </w14:solidFill>
          </w14:textFill>
        </w:rPr>
        <w:t>月</w:t>
      </w:r>
    </w:p>
    <w:p>
      <w:pPr>
        <w:spacing w:after="312" w:afterLines="100"/>
        <w:jc w:val="center"/>
        <w:rPr>
          <w:rStyle w:val="33"/>
          <w:rFonts w:eastAsia="黑体"/>
          <w:bCs/>
          <w:color w:val="000000" w:themeColor="text1"/>
          <w:sz w:val="48"/>
          <w:u w:val="none"/>
          <w14:textFill>
            <w14:solidFill>
              <w14:schemeClr w14:val="tx1"/>
            </w14:solidFill>
          </w14:textFill>
        </w:rPr>
      </w:pPr>
      <w:r>
        <w:rPr>
          <w:color w:val="000000" w:themeColor="text1"/>
          <w14:textFill>
            <w14:solidFill>
              <w14:schemeClr w14:val="tx1"/>
            </w14:solidFill>
          </w14:textFill>
        </w:rPr>
        <w:br w:type="page"/>
      </w:r>
      <w:r>
        <w:rPr>
          <w:rStyle w:val="33"/>
          <w:rFonts w:hint="eastAsia" w:eastAsia="黑体"/>
          <w:bCs/>
          <w:color w:val="000000" w:themeColor="text1"/>
          <w:sz w:val="48"/>
          <w:u w:val="none"/>
          <w14:textFill>
            <w14:solidFill>
              <w14:schemeClr w14:val="tx1"/>
            </w14:solidFill>
          </w14:textFill>
        </w:rPr>
        <w:t>目录</w:t>
      </w:r>
    </w:p>
    <w:p>
      <w:pPr>
        <w:pStyle w:val="22"/>
        <w:tabs>
          <w:tab w:val="right" w:leader="dot" w:pos="9736"/>
        </w:tabs>
        <w:rPr>
          <w:rFonts w:asciiTheme="minorHAnsi" w:hAnsiTheme="minorHAnsi" w:eastAsiaTheme="minorEastAsia" w:cstheme="minorBidi"/>
          <w:szCs w:val="22"/>
        </w:rPr>
      </w:pPr>
      <w:r>
        <w:rPr>
          <w:rStyle w:val="33"/>
          <w:rFonts w:eastAsia="黑体"/>
          <w:bCs/>
          <w:color w:val="000000" w:themeColor="text1"/>
          <w:sz w:val="24"/>
          <w:u w:val="none"/>
          <w14:textFill>
            <w14:solidFill>
              <w14:schemeClr w14:val="tx1"/>
            </w14:solidFill>
          </w14:textFill>
        </w:rPr>
        <w:fldChar w:fldCharType="begin"/>
      </w:r>
      <w:r>
        <w:rPr>
          <w:rStyle w:val="33"/>
          <w:rFonts w:eastAsia="黑体"/>
          <w:bCs/>
          <w:color w:val="000000" w:themeColor="text1"/>
          <w:sz w:val="24"/>
          <w:u w:val="none"/>
          <w14:textFill>
            <w14:solidFill>
              <w14:schemeClr w14:val="tx1"/>
            </w14:solidFill>
          </w14:textFill>
        </w:rPr>
        <w:instrText xml:space="preserve"> TOC \o "1-3" \h \z \u </w:instrText>
      </w:r>
      <w:r>
        <w:rPr>
          <w:rStyle w:val="33"/>
          <w:rFonts w:eastAsia="黑体"/>
          <w:bCs/>
          <w:color w:val="000000" w:themeColor="text1"/>
          <w:sz w:val="24"/>
          <w:u w:val="none"/>
          <w14:textFill>
            <w14:solidFill>
              <w14:schemeClr w14:val="tx1"/>
            </w14:solidFill>
          </w14:textFill>
        </w:rPr>
        <w:fldChar w:fldCharType="separate"/>
      </w:r>
      <w:r>
        <w:fldChar w:fldCharType="begin"/>
      </w:r>
      <w:r>
        <w:instrText xml:space="preserve"> HYPERLINK \l "_Toc71711246" </w:instrText>
      </w:r>
      <w:r>
        <w:fldChar w:fldCharType="separate"/>
      </w:r>
      <w:r>
        <w:rPr>
          <w:rStyle w:val="34"/>
        </w:rPr>
        <w:t>第一部分公开招标采购公告</w:t>
      </w:r>
      <w:r>
        <w:tab/>
      </w:r>
      <w:r>
        <w:fldChar w:fldCharType="begin"/>
      </w:r>
      <w:r>
        <w:instrText xml:space="preserve"> PAGEREF _Toc71711246 \h </w:instrText>
      </w:r>
      <w:r>
        <w:fldChar w:fldCharType="separate"/>
      </w:r>
      <w:r>
        <w:t>2</w:t>
      </w:r>
      <w:r>
        <w:fldChar w:fldCharType="end"/>
      </w:r>
      <w:r>
        <w:fldChar w:fldCharType="end"/>
      </w:r>
    </w:p>
    <w:p>
      <w:pPr>
        <w:pStyle w:val="22"/>
        <w:tabs>
          <w:tab w:val="right" w:leader="dot" w:pos="9736"/>
        </w:tabs>
        <w:rPr>
          <w:rFonts w:asciiTheme="minorHAnsi" w:hAnsiTheme="minorHAnsi" w:eastAsiaTheme="minorEastAsia" w:cstheme="minorBidi"/>
          <w:szCs w:val="22"/>
        </w:rPr>
      </w:pPr>
      <w:r>
        <w:fldChar w:fldCharType="begin"/>
      </w:r>
      <w:r>
        <w:instrText xml:space="preserve"> HYPERLINK \l "_Toc71711247" </w:instrText>
      </w:r>
      <w:r>
        <w:fldChar w:fldCharType="separate"/>
      </w:r>
      <w:r>
        <w:rPr>
          <w:rStyle w:val="34"/>
        </w:rPr>
        <w:t>第二部分投标人须知</w:t>
      </w:r>
      <w:r>
        <w:tab/>
      </w:r>
      <w:r>
        <w:fldChar w:fldCharType="begin"/>
      </w:r>
      <w:r>
        <w:instrText xml:space="preserve"> PAGEREF _Toc71711247 \h </w:instrText>
      </w:r>
      <w:r>
        <w:fldChar w:fldCharType="separate"/>
      </w:r>
      <w:r>
        <w:t>4</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"_Toc71711248" </w:instrText>
      </w:r>
      <w:r>
        <w:fldChar w:fldCharType="separate"/>
      </w:r>
      <w:r>
        <w:rPr>
          <w:rStyle w:val="34"/>
        </w:rPr>
        <w:t>一、招标文件</w:t>
      </w:r>
      <w:r>
        <w:tab/>
      </w:r>
      <w:r>
        <w:fldChar w:fldCharType="begin"/>
      </w:r>
      <w:r>
        <w:instrText xml:space="preserve"> PAGEREF _Toc71711248 \h </w:instrText>
      </w:r>
      <w:r>
        <w:fldChar w:fldCharType="separate"/>
      </w:r>
      <w:r>
        <w:t>4</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"_Toc71711249" </w:instrText>
      </w:r>
      <w:r>
        <w:fldChar w:fldCharType="separate"/>
      </w:r>
      <w:r>
        <w:rPr>
          <w:rStyle w:val="34"/>
        </w:rPr>
        <w:t>二、投标文件</w:t>
      </w:r>
      <w:r>
        <w:tab/>
      </w:r>
      <w:r>
        <w:fldChar w:fldCharType="begin"/>
      </w:r>
      <w:r>
        <w:instrText xml:space="preserve"> PAGEREF _Toc71711249 \h </w:instrText>
      </w:r>
      <w:r>
        <w:fldChar w:fldCharType="separate"/>
      </w:r>
      <w:r>
        <w:t>5</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"_Toc71711250" </w:instrText>
      </w:r>
      <w:r>
        <w:fldChar w:fldCharType="separate"/>
      </w:r>
      <w:r>
        <w:rPr>
          <w:rStyle w:val="34"/>
        </w:rPr>
        <w:t>三、投标细则</w:t>
      </w:r>
      <w:r>
        <w:tab/>
      </w:r>
      <w:r>
        <w:fldChar w:fldCharType="begin"/>
      </w:r>
      <w:r>
        <w:instrText xml:space="preserve"> PAGEREF _Toc71711250 \h </w:instrText>
      </w:r>
      <w:r>
        <w:fldChar w:fldCharType="separate"/>
      </w:r>
      <w:r>
        <w:t>6</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"_Toc71711251" </w:instrText>
      </w:r>
      <w:r>
        <w:fldChar w:fldCharType="separate"/>
      </w:r>
      <w:r>
        <w:rPr>
          <w:rStyle w:val="34"/>
        </w:rPr>
        <w:t>四、评标</w:t>
      </w:r>
      <w:r>
        <w:tab/>
      </w:r>
      <w:r>
        <w:fldChar w:fldCharType="begin"/>
      </w:r>
      <w:r>
        <w:instrText xml:space="preserve"> PAGEREF _Toc71711251 \h </w:instrText>
      </w:r>
      <w:r>
        <w:fldChar w:fldCharType="separate"/>
      </w:r>
      <w:r>
        <w:t>7</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"_Toc71711252" </w:instrText>
      </w:r>
      <w:r>
        <w:fldChar w:fldCharType="separate"/>
      </w:r>
      <w:r>
        <w:rPr>
          <w:rStyle w:val="34"/>
        </w:rPr>
        <w:t>五、评标方法及评分标准</w:t>
      </w:r>
      <w:r>
        <w:tab/>
      </w:r>
      <w:r>
        <w:fldChar w:fldCharType="begin"/>
      </w:r>
      <w:r>
        <w:instrText xml:space="preserve"> PAGEREF _Toc71711252 \h </w:instrText>
      </w:r>
      <w:r>
        <w:fldChar w:fldCharType="separate"/>
      </w:r>
      <w:r>
        <w:t>9</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"_Toc71711253" </w:instrText>
      </w:r>
      <w:r>
        <w:fldChar w:fldCharType="separate"/>
      </w:r>
      <w:r>
        <w:rPr>
          <w:rStyle w:val="34"/>
        </w:rPr>
        <w:t>六、定标</w:t>
      </w:r>
      <w:r>
        <w:tab/>
      </w:r>
      <w:r>
        <w:fldChar w:fldCharType="begin"/>
      </w:r>
      <w:r>
        <w:instrText xml:space="preserve"> PAGEREF _Toc71711253 \h </w:instrText>
      </w:r>
      <w:r>
        <w:fldChar w:fldCharType="separate"/>
      </w:r>
      <w:r>
        <w:t>11</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"_Toc71711254" </w:instrText>
      </w:r>
      <w:r>
        <w:fldChar w:fldCharType="separate"/>
      </w:r>
      <w:r>
        <w:rPr>
          <w:rStyle w:val="34"/>
        </w:rPr>
        <w:t>七、合同的签订</w:t>
      </w:r>
      <w:r>
        <w:tab/>
      </w:r>
      <w:r>
        <w:fldChar w:fldCharType="begin"/>
      </w:r>
      <w:r>
        <w:instrText xml:space="preserve"> PAGEREF _Toc71711254 \h </w:instrText>
      </w:r>
      <w:r>
        <w:fldChar w:fldCharType="separate"/>
      </w:r>
      <w:r>
        <w:t>11</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"_Toc71711255" </w:instrText>
      </w:r>
      <w:r>
        <w:fldChar w:fldCharType="separate"/>
      </w:r>
      <w:r>
        <w:rPr>
          <w:rStyle w:val="34"/>
        </w:rPr>
        <w:t>八、其他</w:t>
      </w:r>
      <w:r>
        <w:tab/>
      </w:r>
      <w:r>
        <w:fldChar w:fldCharType="begin"/>
      </w:r>
      <w:r>
        <w:instrText xml:space="preserve"> PAGEREF _Toc71711255 \h </w:instrText>
      </w:r>
      <w:r>
        <w:fldChar w:fldCharType="separate"/>
      </w:r>
      <w:r>
        <w:t>12</w:t>
      </w:r>
      <w:r>
        <w:fldChar w:fldCharType="end"/>
      </w:r>
      <w:r>
        <w:fldChar w:fldCharType="end"/>
      </w:r>
    </w:p>
    <w:p>
      <w:pPr>
        <w:pStyle w:val="22"/>
        <w:tabs>
          <w:tab w:val="right" w:leader="dot" w:pos="9736"/>
        </w:tabs>
        <w:rPr>
          <w:rFonts w:asciiTheme="minorHAnsi" w:hAnsiTheme="minorHAnsi" w:eastAsiaTheme="minorEastAsia" w:cstheme="minorBidi"/>
          <w:szCs w:val="22"/>
        </w:rPr>
      </w:pPr>
      <w:r>
        <w:fldChar w:fldCharType="begin"/>
      </w:r>
      <w:r>
        <w:instrText xml:space="preserve"> HYPERLINK \l "_Toc71711256" </w:instrText>
      </w:r>
      <w:r>
        <w:fldChar w:fldCharType="separate"/>
      </w:r>
      <w:r>
        <w:rPr>
          <w:rStyle w:val="34"/>
        </w:rPr>
        <w:t>第三部分招标货物要求及相关说明</w:t>
      </w:r>
      <w:r>
        <w:tab/>
      </w:r>
      <w:r>
        <w:fldChar w:fldCharType="begin"/>
      </w:r>
      <w:r>
        <w:instrText xml:space="preserve"> PAGEREF _Toc71711256 \h </w:instrText>
      </w:r>
      <w:r>
        <w:fldChar w:fldCharType="separate"/>
      </w:r>
      <w:r>
        <w:t>13</w:t>
      </w:r>
      <w:r>
        <w:fldChar w:fldCharType="end"/>
      </w:r>
      <w:r>
        <w:fldChar w:fldCharType="end"/>
      </w:r>
    </w:p>
    <w:p>
      <w:pPr>
        <w:pStyle w:val="22"/>
        <w:tabs>
          <w:tab w:val="right" w:leader="dot" w:pos="9736"/>
        </w:tabs>
        <w:rPr>
          <w:rFonts w:asciiTheme="minorHAnsi" w:hAnsiTheme="minorHAnsi" w:eastAsiaTheme="minorEastAsia" w:cstheme="minorBidi"/>
          <w:szCs w:val="22"/>
        </w:rPr>
      </w:pPr>
      <w:r>
        <w:fldChar w:fldCharType="begin"/>
      </w:r>
      <w:r>
        <w:instrText xml:space="preserve"> HYPERLINK \l "_Toc71711257" </w:instrText>
      </w:r>
      <w:r>
        <w:fldChar w:fldCharType="separate"/>
      </w:r>
      <w:r>
        <w:rPr>
          <w:rStyle w:val="34"/>
        </w:rPr>
        <w:t>第四部分合同主要条款</w:t>
      </w:r>
      <w:r>
        <w:tab/>
      </w:r>
      <w:r>
        <w:fldChar w:fldCharType="begin"/>
      </w:r>
      <w:r>
        <w:instrText xml:space="preserve"> PAGEREF _Toc71711257 \h </w:instrText>
      </w:r>
      <w:r>
        <w:fldChar w:fldCharType="separate"/>
      </w:r>
      <w:r>
        <w:t>15</w:t>
      </w:r>
      <w:r>
        <w:fldChar w:fldCharType="end"/>
      </w:r>
      <w:r>
        <w:fldChar w:fldCharType="end"/>
      </w:r>
    </w:p>
    <w:p>
      <w:pPr>
        <w:pStyle w:val="22"/>
        <w:tabs>
          <w:tab w:val="right" w:leader="dot" w:pos="9736"/>
        </w:tabs>
        <w:rPr>
          <w:rFonts w:asciiTheme="minorHAnsi" w:hAnsiTheme="minorHAnsi" w:eastAsiaTheme="minorEastAsia" w:cstheme="minorBidi"/>
          <w:szCs w:val="22"/>
        </w:rPr>
      </w:pPr>
      <w:r>
        <w:fldChar w:fldCharType="begin"/>
      </w:r>
      <w:r>
        <w:instrText xml:space="preserve"> HYPERLINK \l "_Toc71711258" </w:instrText>
      </w:r>
      <w:r>
        <w:fldChar w:fldCharType="separate"/>
      </w:r>
      <w:r>
        <w:rPr>
          <w:rStyle w:val="34"/>
        </w:rPr>
        <w:t>第五部分附件</w:t>
      </w:r>
      <w:r>
        <w:tab/>
      </w:r>
      <w:r>
        <w:fldChar w:fldCharType="begin"/>
      </w:r>
      <w:r>
        <w:instrText xml:space="preserve"> PAGEREF _Toc71711258 \h </w:instrText>
      </w:r>
      <w:r>
        <w:fldChar w:fldCharType="separate"/>
      </w:r>
      <w:r>
        <w:t>16</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"_Toc71711259" </w:instrText>
      </w:r>
      <w:r>
        <w:fldChar w:fldCharType="separate"/>
      </w:r>
      <w:r>
        <w:rPr>
          <w:rStyle w:val="34"/>
        </w:rPr>
        <w:t>附件1：投标函</w:t>
      </w:r>
      <w:r>
        <w:tab/>
      </w:r>
      <w:r>
        <w:fldChar w:fldCharType="begin"/>
      </w:r>
      <w:r>
        <w:instrText xml:space="preserve"> PAGEREF _Toc71711259 \h </w:instrText>
      </w:r>
      <w:r>
        <w:fldChar w:fldCharType="separate"/>
      </w:r>
      <w:r>
        <w:t>17</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"_Toc71711260" </w:instrText>
      </w:r>
      <w:r>
        <w:fldChar w:fldCharType="separate"/>
      </w:r>
      <w:r>
        <w:rPr>
          <w:rStyle w:val="34"/>
        </w:rPr>
        <w:t>附件2：投标报价总表</w:t>
      </w:r>
      <w:r>
        <w:tab/>
      </w:r>
      <w:r>
        <w:fldChar w:fldCharType="begin"/>
      </w:r>
      <w:r>
        <w:instrText xml:space="preserve"> PAGEREF _Toc71711260 \h </w:instrText>
      </w:r>
      <w:r>
        <w:fldChar w:fldCharType="separate"/>
      </w:r>
      <w:r>
        <w:t>18</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"_Toc71711261" </w:instrText>
      </w:r>
      <w:r>
        <w:fldChar w:fldCharType="separate"/>
      </w:r>
      <w:r>
        <w:rPr>
          <w:rStyle w:val="34"/>
        </w:rPr>
        <w:t>附件3：配置清单及分项报价表</w:t>
      </w:r>
      <w:r>
        <w:tab/>
      </w:r>
      <w:r>
        <w:fldChar w:fldCharType="begin"/>
      </w:r>
      <w:r>
        <w:instrText xml:space="preserve"> PAGEREF _Toc71711261 \h </w:instrText>
      </w:r>
      <w:r>
        <w:fldChar w:fldCharType="separate"/>
      </w:r>
      <w:r>
        <w:t>19</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"_Toc71711262" </w:instrText>
      </w:r>
      <w:r>
        <w:fldChar w:fldCharType="separate"/>
      </w:r>
      <w:r>
        <w:rPr>
          <w:rStyle w:val="34"/>
        </w:rPr>
        <w:t>附件4：技术规格响应/偏离表</w:t>
      </w:r>
      <w:r>
        <w:tab/>
      </w:r>
      <w:r>
        <w:fldChar w:fldCharType="begin"/>
      </w:r>
      <w:r>
        <w:instrText xml:space="preserve"> PAGEREF _Toc71711262 \h </w:instrText>
      </w:r>
      <w:r>
        <w:fldChar w:fldCharType="separate"/>
      </w:r>
      <w:r>
        <w:t>20</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"_Toc71711263" </w:instrText>
      </w:r>
      <w:r>
        <w:fldChar w:fldCharType="separate"/>
      </w:r>
      <w:r>
        <w:rPr>
          <w:rStyle w:val="34"/>
        </w:rPr>
        <w:t>附件5：商务条款响应/偏离表</w:t>
      </w:r>
      <w:r>
        <w:tab/>
      </w:r>
      <w:r>
        <w:fldChar w:fldCharType="begin"/>
      </w:r>
      <w:r>
        <w:instrText xml:space="preserve"> PAGEREF _Toc71711263 \h </w:instrText>
      </w:r>
      <w:r>
        <w:fldChar w:fldCharType="separate"/>
      </w:r>
      <w:r>
        <w:t>21</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"_Toc71711264" </w:instrText>
      </w:r>
      <w:r>
        <w:fldChar w:fldCharType="separate"/>
      </w:r>
      <w:r>
        <w:rPr>
          <w:rStyle w:val="34"/>
        </w:rPr>
        <w:t>附件6：法定代表人资格证明</w:t>
      </w:r>
      <w:r>
        <w:tab/>
      </w:r>
      <w:r>
        <w:fldChar w:fldCharType="begin"/>
      </w:r>
      <w:r>
        <w:instrText xml:space="preserve"> PAGEREF _Toc71711264 \h </w:instrText>
      </w:r>
      <w:r>
        <w:fldChar w:fldCharType="separate"/>
      </w:r>
      <w:r>
        <w:t>22</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"_Toc71711265" </w:instrText>
      </w:r>
      <w:r>
        <w:fldChar w:fldCharType="separate"/>
      </w:r>
      <w:r>
        <w:rPr>
          <w:rStyle w:val="34"/>
        </w:rPr>
        <w:t>附件7：法定代表人授权书</w:t>
      </w:r>
      <w:r>
        <w:tab/>
      </w:r>
      <w:r>
        <w:fldChar w:fldCharType="begin"/>
      </w:r>
      <w:r>
        <w:instrText xml:space="preserve"> PAGEREF _Toc71711265 \h </w:instrText>
      </w:r>
      <w:r>
        <w:fldChar w:fldCharType="separate"/>
      </w:r>
      <w:r>
        <w:t>22</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"_Toc71711266" </w:instrText>
      </w:r>
      <w:r>
        <w:fldChar w:fldCharType="separate"/>
      </w:r>
      <w:r>
        <w:rPr>
          <w:rStyle w:val="34"/>
        </w:rPr>
        <w:t>附件8：无重大违法记录声明</w:t>
      </w:r>
      <w:r>
        <w:tab/>
      </w:r>
      <w:r>
        <w:fldChar w:fldCharType="begin"/>
      </w:r>
      <w:r>
        <w:instrText xml:space="preserve"> PAGEREF _Toc71711266 \h </w:instrText>
      </w:r>
      <w:r>
        <w:fldChar w:fldCharType="separate"/>
      </w:r>
      <w:r>
        <w:t>24</w:t>
      </w:r>
      <w:r>
        <w:fldChar w:fldCharType="end"/>
      </w:r>
      <w:r>
        <w:fldChar w:fldCharType="end"/>
      </w:r>
    </w:p>
    <w:p>
      <w:pPr>
        <w:pStyle w:val="24"/>
        <w:tabs>
          <w:tab w:val="right" w:leader="dot" w:pos="9736"/>
        </w:tabs>
        <w:rPr>
          <w:rFonts w:asciiTheme="minorHAnsi" w:hAnsiTheme="minorHAnsi" w:eastAsiaTheme="minorEastAsia" w:cstheme="minorBidi"/>
          <w:szCs w:val="22"/>
        </w:rPr>
      </w:pPr>
      <w:r>
        <w:fldChar w:fldCharType="begin"/>
      </w:r>
      <w:r>
        <w:instrText xml:space="preserve"> HYPERLINK \l "_Toc71711267" </w:instrText>
      </w:r>
      <w:r>
        <w:fldChar w:fldCharType="separate"/>
      </w:r>
      <w:r>
        <w:rPr>
          <w:rStyle w:val="34"/>
        </w:rPr>
        <w:t>附件9：诚信承诺书</w:t>
      </w:r>
      <w:r>
        <w:tab/>
      </w:r>
      <w:r>
        <w:fldChar w:fldCharType="begin"/>
      </w:r>
      <w:r>
        <w:instrText xml:space="preserve"> PAGEREF _Toc71711267 \h </w:instrText>
      </w:r>
      <w:r>
        <w:fldChar w:fldCharType="separate"/>
      </w:r>
      <w:r>
        <w:t>25</w:t>
      </w:r>
      <w:r>
        <w:fldChar w:fldCharType="end"/>
      </w:r>
      <w:r>
        <w:fldChar w:fldCharType="end"/>
      </w:r>
    </w:p>
    <w:p>
      <w:pPr>
        <w:spacing w:after="312" w:afterLines="100" w:line="500" w:lineRule="exact"/>
        <w:jc w:val="center"/>
        <w:rPr>
          <w:rStyle w:val="33"/>
          <w:rFonts w:eastAsia="黑体"/>
          <w:bCs/>
          <w:color w:val="000000" w:themeColor="text1"/>
          <w:sz w:val="48"/>
          <w:u w:val="none"/>
          <w14:textFill>
            <w14:solidFill>
              <w14:schemeClr w14:val="tx1"/>
            </w14:solidFill>
          </w14:textFill>
        </w:rPr>
      </w:pPr>
      <w:r>
        <w:rPr>
          <w:rStyle w:val="33"/>
          <w:rFonts w:eastAsia="黑体"/>
          <w:bCs/>
          <w:color w:val="000000" w:themeColor="text1"/>
          <w:sz w:val="24"/>
          <w:u w:val="none"/>
          <w14:textFill>
            <w14:solidFill>
              <w14:schemeClr w14:val="tx1"/>
            </w14:solidFill>
          </w14:textFill>
        </w:rPr>
        <w:fldChar w:fldCharType="end"/>
      </w:r>
    </w:p>
    <w:p>
      <w:pPr>
        <w:pStyle w:val="2"/>
        <w:jc w:val="center"/>
        <w:rPr>
          <w:rFonts w:ascii="黑体" w:eastAsia="黑体"/>
          <w:color w:val="000000" w:themeColor="text1"/>
          <w14:textFill>
            <w14:solidFill>
              <w14:schemeClr w14:val="tx1"/>
            </w14:solidFill>
          </w14:textFill>
        </w:rPr>
      </w:pPr>
      <w:r>
        <w:rPr>
          <w:color w:val="000000" w:themeColor="text1"/>
          <w14:textFill>
            <w14:solidFill>
              <w14:schemeClr w14:val="tx1"/>
            </w14:solidFill>
          </w14:textFill>
        </w:rPr>
        <w:br w:type="page"/>
      </w:r>
      <w:bookmarkStart w:id="0" w:name="_Toc71711246"/>
      <w:r>
        <w:rPr>
          <w:rFonts w:hint="eastAsia"/>
          <w:color w:val="000000" w:themeColor="text1"/>
          <w14:textFill>
            <w14:solidFill>
              <w14:schemeClr w14:val="tx1"/>
            </w14:solidFill>
          </w14:textFill>
        </w:rPr>
        <w:t>第一部分公开</w:t>
      </w:r>
      <w:bookmarkStart w:id="34" w:name="_GoBack"/>
      <w:bookmarkEnd w:id="34"/>
      <w:r>
        <w:rPr>
          <w:rFonts w:hint="eastAsia"/>
          <w:color w:val="000000" w:themeColor="text1"/>
          <w14:textFill>
            <w14:solidFill>
              <w14:schemeClr w14:val="tx1"/>
            </w14:solidFill>
          </w14:textFill>
        </w:rPr>
        <w:t>招标采购公告</w:t>
      </w:r>
      <w:bookmarkEnd w:id="0"/>
    </w:p>
    <w:p>
      <w:pPr>
        <w:spacing w:line="300" w:lineRule="auto"/>
        <w:ind w:firstLine="496" w:firstLineChars="200"/>
        <w:rPr>
          <w:rFonts w:ascii="宋体" w:hAns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南通大学拟采取公开招标方式购买</w:t>
      </w:r>
      <w:r>
        <w:rPr>
          <w:rFonts w:hint="eastAsia" w:ascii="宋体" w:hAnsi="宋体"/>
          <w:b/>
          <w:color w:val="000000" w:themeColor="text1"/>
          <w:spacing w:val="4"/>
          <w:sz w:val="24"/>
          <w14:textFill>
            <w14:solidFill>
              <w14:schemeClr w14:val="tx1"/>
            </w14:solidFill>
          </w14:textFill>
        </w:rPr>
        <w:t>启东校区2号教工公寓金刚纱网窗采购及安装项目</w:t>
      </w:r>
      <w:r>
        <w:rPr>
          <w:rFonts w:hint="eastAsia" w:ascii="宋体" w:hAnsi="宋体"/>
          <w:color w:val="000000" w:themeColor="text1"/>
          <w:spacing w:val="4"/>
          <w:sz w:val="24"/>
          <w14:textFill>
            <w14:solidFill>
              <w14:schemeClr w14:val="tx1"/>
            </w14:solidFill>
          </w14:textFill>
        </w:rPr>
        <w:t>，现就相关事宜公告如下：</w:t>
      </w:r>
    </w:p>
    <w:p>
      <w:pPr>
        <w:spacing w:line="300" w:lineRule="auto"/>
        <w:ind w:firstLine="498" w:firstLineChars="200"/>
        <w:rPr>
          <w:rFonts w:ascii="宋体"/>
          <w:b/>
          <w:color w:val="000000" w:themeColor="text1"/>
          <w:spacing w:val="20"/>
          <w:sz w:val="32"/>
          <w:szCs w:val="32"/>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一、项目名称：南通大学启东校区2号教工公寓金刚纱网窗采购及安装项目</w:t>
      </w:r>
    </w:p>
    <w:p>
      <w:pPr>
        <w:ind w:firstLine="498" w:firstLineChars="200"/>
        <w:jc w:val="left"/>
        <w:rPr>
          <w:rFonts w:eastAsia="黑体"/>
          <w:color w:val="000000" w:themeColor="text1"/>
          <w:sz w:val="36"/>
          <w:szCs w:val="36"/>
          <w:u w:val="single"/>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二、项目编号：</w:t>
      </w:r>
      <w:r>
        <w:rPr>
          <w:rFonts w:ascii="宋体" w:hAnsi="宋体"/>
          <w:b/>
          <w:color w:val="000000" w:themeColor="text1"/>
          <w:spacing w:val="4"/>
          <w:sz w:val="24"/>
          <w14:textFill>
            <w14:solidFill>
              <w14:schemeClr w14:val="tx1"/>
            </w14:solidFill>
          </w14:textFill>
        </w:rPr>
        <w:t>TDQJ-2021</w:t>
      </w:r>
      <w:r>
        <w:rPr>
          <w:rFonts w:ascii="宋体"/>
          <w:b/>
          <w:color w:val="000000" w:themeColor="text1"/>
          <w:spacing w:val="4"/>
          <w:sz w:val="24"/>
          <w14:textFill>
            <w14:solidFill>
              <w14:schemeClr w14:val="tx1"/>
            </w14:solidFill>
          </w14:textFill>
        </w:rPr>
        <w:t>-01</w:t>
      </w:r>
    </w:p>
    <w:p>
      <w:pPr>
        <w:spacing w:line="360" w:lineRule="auto"/>
        <w:ind w:firstLine="498" w:firstLineChars="200"/>
        <w:rPr>
          <w:rFonts w:ascii="宋体"/>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三、货物品名、数量及技术规格：</w:t>
      </w:r>
      <w:r>
        <w:rPr>
          <w:rFonts w:hint="eastAsia" w:ascii="宋体" w:hAnsi="宋体"/>
          <w:color w:val="000000" w:themeColor="text1"/>
          <w:spacing w:val="4"/>
          <w:sz w:val="24"/>
          <w14:textFill>
            <w14:solidFill>
              <w14:schemeClr w14:val="tx1"/>
            </w14:solidFill>
          </w14:textFill>
        </w:rPr>
        <w:t>详见本招标文件第三部分“招标货物要求及相关说明”。</w:t>
      </w:r>
    </w:p>
    <w:p>
      <w:pPr>
        <w:spacing w:line="360" w:lineRule="auto"/>
        <w:ind w:firstLine="498" w:firstLineChars="200"/>
        <w:rPr>
          <w:rFonts w:ascii="宋体"/>
          <w:b/>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四、项目预算：</w:t>
      </w:r>
      <w:r>
        <w:rPr>
          <w:rFonts w:ascii="宋体" w:hAnsi="宋体"/>
          <w:bCs/>
          <w:color w:val="000000" w:themeColor="text1"/>
          <w:sz w:val="24"/>
          <w14:textFill>
            <w14:solidFill>
              <w14:schemeClr w14:val="tx1"/>
            </w14:solidFill>
          </w14:textFill>
        </w:rPr>
        <w:t>4.1</w:t>
      </w:r>
      <w:r>
        <w:rPr>
          <w:rFonts w:hint="eastAsia" w:ascii="宋体" w:hAnsi="宋体"/>
          <w:bCs/>
          <w:color w:val="000000" w:themeColor="text1"/>
          <w:sz w:val="24"/>
          <w14:textFill>
            <w14:solidFill>
              <w14:schemeClr w14:val="tx1"/>
            </w14:solidFill>
          </w14:textFill>
        </w:rPr>
        <w:t>万元。</w:t>
      </w:r>
    </w:p>
    <w:p>
      <w:pPr>
        <w:spacing w:line="360" w:lineRule="auto"/>
        <w:ind w:firstLine="498" w:firstLineChars="200"/>
        <w:rPr>
          <w:rFonts w:ascii="宋体"/>
          <w:b/>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五、合格的投标人</w:t>
      </w:r>
    </w:p>
    <w:p>
      <w:pPr>
        <w:spacing w:line="360" w:lineRule="auto"/>
        <w:ind w:firstLine="470" w:firstLineChars="196"/>
        <w:rPr>
          <w:b/>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参加本次招标活动的投标人除应当符合《中华人民共和国政府采购法》第二十二条的规定外，还必须具备以下条件：</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、经国家工商行政管理机关注册的企业法人；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、招标货物的专业制造厂（商）或销售商；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、具有本次招标货物的供货、安装、售后服务等的相应经验和能力；</w:t>
      </w:r>
    </w:p>
    <w:p>
      <w:pPr>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、供应商不得存在下列情况之一：</w:t>
      </w:r>
    </w:p>
    <w:p>
      <w:pPr>
        <w:spacing w:line="360" w:lineRule="auto"/>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）供应商最近三年内被“信用中国（</w:t>
      </w:r>
      <w:r>
        <w:rPr>
          <w:rFonts w:ascii="宋体" w:hAnsi="宋体"/>
          <w:color w:val="auto"/>
          <w:sz w:val="24"/>
        </w:rPr>
        <w:t>www.creditchina.gov.cn</w:t>
      </w:r>
      <w:r>
        <w:rPr>
          <w:rFonts w:hint="eastAsia" w:ascii="宋体" w:hAnsi="宋体"/>
          <w:color w:val="auto"/>
          <w:sz w:val="24"/>
        </w:rPr>
        <w:t>）”、“中国政府采购网（www.ccgp.gov.cn）”、“信用江苏（www.jscredit.gov.cn）”网站列入失信执行人、重大税收违法案件当事人名单、政府采购严重违法失信行为记录名单的（处罚期限尚未届满的）供应商。</w:t>
      </w:r>
    </w:p>
    <w:p>
      <w:pPr>
        <w:spacing w:line="360" w:lineRule="auto"/>
        <w:ind w:firstLine="480" w:firstLineChars="200"/>
        <w:rPr>
          <w:rFonts w:ascii="宋体" w:hAnsi="宋体"/>
          <w:color w:val="FF0000"/>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）法定代表人为同一人的两个及两个以上法人，母公司、全资子公司及其控股公司不得在本项目招标中同时参加。</w:t>
      </w:r>
    </w:p>
    <w:p>
      <w:pPr>
        <w:spacing w:line="360" w:lineRule="auto"/>
        <w:ind w:firstLine="498" w:firstLineChars="200"/>
        <w:rPr>
          <w:rFonts w:ascii="宋体" w:cs="宋体"/>
          <w:b/>
          <w:color w:val="000000" w:themeColor="text1"/>
          <w:spacing w:val="2"/>
          <w:kern w:val="0"/>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六、投标人资格审查方式：</w:t>
      </w:r>
      <w:r>
        <w:rPr>
          <w:rFonts w:hint="eastAsia" w:ascii="宋体" w:hAnsi="宋体" w:cs="宋体"/>
          <w:color w:val="000000" w:themeColor="text1"/>
          <w:spacing w:val="2"/>
          <w:kern w:val="0"/>
          <w:sz w:val="24"/>
          <w14:textFill>
            <w14:solidFill>
              <w14:schemeClr w14:val="tx1"/>
            </w14:solidFill>
          </w14:textFill>
        </w:rPr>
        <w:t>资格后审。</w:t>
      </w:r>
    </w:p>
    <w:p>
      <w:pPr>
        <w:spacing w:line="360" w:lineRule="auto"/>
        <w:ind w:firstLine="498" w:firstLineChars="200"/>
        <w:rPr>
          <w:rFonts w:ascii="宋体" w:hAnsi="宋体" w:cs="宋体"/>
          <w:color w:val="000000" w:themeColor="text1"/>
          <w:spacing w:val="2"/>
          <w:kern w:val="0"/>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七、招标文件获取：</w:t>
      </w:r>
      <w:r>
        <w:rPr>
          <w:rFonts w:hint="eastAsia" w:ascii="宋体" w:hAnsi="宋体" w:cs="宋体"/>
          <w:color w:val="000000" w:themeColor="text1"/>
          <w:spacing w:val="2"/>
          <w:kern w:val="0"/>
          <w:sz w:val="24"/>
          <w14:textFill>
            <w14:solidFill>
              <w14:schemeClr w14:val="tx1"/>
            </w14:solidFill>
          </w14:textFill>
        </w:rPr>
        <w:t>投标人自行登录南通大学启东校区建设指挥部主页</w:t>
      </w:r>
      <w:r>
        <w:fldChar w:fldCharType="begin"/>
      </w:r>
      <w:r>
        <w:instrText xml:space="preserve"> HYPERLINK "https://qdxqjsb.ntu.edu.cn/" </w:instrText>
      </w:r>
      <w:r>
        <w:fldChar w:fldCharType="separate"/>
      </w:r>
      <w:r>
        <w:rPr>
          <w:rFonts w:ascii="宋体" w:hAnsi="宋体" w:cs="宋体"/>
          <w:color w:val="000000" w:themeColor="text1"/>
          <w:spacing w:val="2"/>
          <w:kern w:val="0"/>
          <w:sz w:val="24"/>
          <w14:textFill>
            <w14:solidFill>
              <w14:schemeClr w14:val="tx1"/>
            </w14:solidFill>
          </w14:textFill>
        </w:rPr>
        <w:t>https://qdxqjsb.ntu.edu.cn/</w:t>
      </w:r>
      <w:r>
        <w:rPr>
          <w:rFonts w:ascii="宋体" w:hAnsi="宋体" w:cs="宋体"/>
          <w:color w:val="000000" w:themeColor="text1"/>
          <w:spacing w:val="2"/>
          <w:kern w:val="0"/>
          <w:sz w:val="24"/>
          <w14:textFill>
            <w14:solidFill>
              <w14:schemeClr w14:val="tx1"/>
            </w14:solidFill>
          </w14:textFill>
        </w:rPr>
        <w:fldChar w:fldCharType="end"/>
      </w:r>
    </w:p>
    <w:p>
      <w:pPr>
        <w:spacing w:line="5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八、</w:t>
      </w:r>
      <w:r>
        <w:rPr>
          <w:rFonts w:hint="eastAsia" w:ascii="宋体" w:hAnsi="宋体"/>
          <w:b/>
          <w:color w:val="000000" w:themeColor="text1"/>
          <w:spacing w:val="4"/>
          <w:sz w:val="24"/>
          <w14:textFill>
            <w14:solidFill>
              <w14:schemeClr w14:val="tx1"/>
            </w14:solidFill>
          </w14:textFill>
        </w:rPr>
        <w:t>招标文件</w:t>
      </w:r>
      <w:r>
        <w:rPr>
          <w:rFonts w:hint="eastAsia"/>
          <w:b/>
          <w:color w:val="000000" w:themeColor="text1"/>
          <w:sz w:val="24"/>
          <w14:textFill>
            <w14:solidFill>
              <w14:schemeClr w14:val="tx1"/>
            </w14:solidFill>
          </w14:textFill>
        </w:rPr>
        <w:t>售价：</w:t>
      </w:r>
      <w:r>
        <w:rPr>
          <w:rFonts w:hint="eastAsia" w:ascii="宋体" w:hAnsi="宋体" w:cs="宋体"/>
          <w:color w:val="000000" w:themeColor="text1"/>
          <w:spacing w:val="2"/>
          <w:kern w:val="0"/>
          <w:sz w:val="24"/>
          <w14:textFill>
            <w14:solidFill>
              <w14:schemeClr w14:val="tx1"/>
            </w14:solidFill>
          </w14:textFill>
        </w:rPr>
        <w:t>人民币</w:t>
      </w:r>
      <w:r>
        <w:rPr>
          <w:rFonts w:ascii="宋体" w:hAnsi="宋体" w:cs="宋体"/>
          <w:color w:val="000000" w:themeColor="text1"/>
          <w:spacing w:val="2"/>
          <w:kern w:val="0"/>
          <w:sz w:val="24"/>
          <w14:textFill>
            <w14:solidFill>
              <w14:schemeClr w14:val="tx1"/>
            </w14:solidFill>
          </w14:textFill>
        </w:rPr>
        <w:t>200</w:t>
      </w:r>
      <w:r>
        <w:rPr>
          <w:rFonts w:hint="eastAsia" w:ascii="宋体" w:hAnsi="宋体" w:cs="宋体"/>
          <w:color w:val="000000" w:themeColor="text1"/>
          <w:spacing w:val="2"/>
          <w:kern w:val="0"/>
          <w:sz w:val="24"/>
          <w14:textFill>
            <w14:solidFill>
              <w14:schemeClr w14:val="tx1"/>
            </w14:solidFill>
          </w14:textFill>
        </w:rPr>
        <w:t>元（现场缴纳，事后不退。）</w:t>
      </w:r>
    </w:p>
    <w:p>
      <w:pPr>
        <w:pStyle w:val="25"/>
        <w:shd w:val="clear" w:color="auto" w:fill="FFFFFF"/>
        <w:spacing w:before="0" w:beforeAutospacing="0" w:after="0" w:afterAutospacing="0" w:line="450" w:lineRule="atLeast"/>
        <w:ind w:firstLine="480"/>
        <w:jc w:val="both"/>
        <w:rPr>
          <w:rFonts w:ascii="黑体" w:hAnsi="黑体" w:eastAsia="黑体"/>
          <w:b/>
          <w:color w:val="000000" w:themeColor="text1"/>
          <w:spacing w:val="2"/>
          <w:sz w:val="24"/>
          <w:szCs w:val="24"/>
          <w14:textFill>
            <w14:solidFill>
              <w14:schemeClr w14:val="tx1"/>
            </w14:solidFill>
          </w14:textFill>
        </w:rPr>
      </w:pPr>
      <w:r>
        <w:rPr>
          <w:rFonts w:hint="eastAsia" w:ascii="黑体" w:hAnsi="黑体" w:eastAsia="黑体"/>
          <w:b/>
          <w:color w:val="000000" w:themeColor="text1"/>
          <w:spacing w:val="2"/>
          <w:sz w:val="24"/>
          <w:szCs w:val="24"/>
          <w14:textFill>
            <w14:solidFill>
              <w14:schemeClr w14:val="tx1"/>
            </w14:solidFill>
          </w14:textFill>
        </w:rPr>
        <w:t>十、</w:t>
      </w:r>
      <w:r>
        <w:rPr>
          <w:rFonts w:hint="eastAsia" w:ascii="黑体" w:hAnsi="黑体" w:eastAsia="黑体"/>
          <w:b/>
          <w:color w:val="000000" w:themeColor="text1"/>
          <w:spacing w:val="2"/>
          <w:sz w:val="24"/>
          <w14:textFill>
            <w14:solidFill>
              <w14:schemeClr w14:val="tx1"/>
            </w14:solidFill>
          </w14:textFill>
        </w:rPr>
        <w:t>现场递交方式</w:t>
      </w:r>
    </w:p>
    <w:p>
      <w:pPr>
        <w:spacing w:line="360" w:lineRule="auto"/>
        <w:ind w:firstLine="498" w:firstLineChars="200"/>
        <w:rPr>
          <w:rFonts w:ascii="宋体" w:hAnsi="宋体"/>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（1）投标文件及</w:t>
      </w:r>
      <w:r>
        <w:rPr>
          <w:rFonts w:ascii="宋体" w:hAnsi="宋体"/>
          <w:b/>
          <w:color w:val="000000" w:themeColor="text1"/>
          <w:spacing w:val="4"/>
          <w:sz w:val="24"/>
          <w14:textFill>
            <w14:solidFill>
              <w14:schemeClr w14:val="tx1"/>
            </w14:solidFill>
          </w14:textFill>
        </w:rPr>
        <w:t>样品</w:t>
      </w:r>
      <w:r>
        <w:rPr>
          <w:rFonts w:hint="eastAsia" w:ascii="宋体" w:hAnsi="宋体"/>
          <w:b/>
          <w:color w:val="000000" w:themeColor="text1"/>
          <w:spacing w:val="4"/>
          <w:sz w:val="24"/>
          <w14:textFill>
            <w14:solidFill>
              <w14:schemeClr w14:val="tx1"/>
            </w14:solidFill>
          </w14:textFill>
        </w:rPr>
        <w:t>接收开始时间：</w:t>
      </w:r>
      <w:r>
        <w:rPr>
          <w:rFonts w:hint="eastAsia" w:ascii="宋体" w:hAnsi="宋体"/>
          <w:color w:val="000000" w:themeColor="text1"/>
          <w:spacing w:val="4"/>
          <w:sz w:val="24"/>
          <w14:textFill>
            <w14:solidFill>
              <w14:schemeClr w14:val="tx1"/>
            </w14:solidFill>
          </w14:textFill>
        </w:rPr>
        <w:t>202</w:t>
      </w:r>
      <w:r>
        <w:rPr>
          <w:rFonts w:ascii="宋体" w:hAnsi="宋体"/>
          <w:color w:val="000000" w:themeColor="text1"/>
          <w:spacing w:val="4"/>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年</w:t>
      </w:r>
      <w:r>
        <w:rPr>
          <w:rFonts w:ascii="宋体" w:hAnsi="宋体"/>
          <w:color w:val="000000" w:themeColor="text1"/>
          <w:spacing w:val="4"/>
          <w:sz w:val="24"/>
          <w14:textFill>
            <w14:solidFill>
              <w14:schemeClr w14:val="tx1"/>
            </w14:solidFill>
          </w14:textFill>
        </w:rPr>
        <w:t>6</w:t>
      </w:r>
      <w:r>
        <w:rPr>
          <w:rFonts w:hint="eastAsia" w:ascii="宋体" w:hAnsi="宋体"/>
          <w:color w:val="000000" w:themeColor="text1"/>
          <w:spacing w:val="4"/>
          <w:sz w:val="24"/>
          <w14:textFill>
            <w14:solidFill>
              <w14:schemeClr w14:val="tx1"/>
            </w14:solidFill>
          </w14:textFill>
        </w:rPr>
        <w:t>月1</w:t>
      </w:r>
      <w:r>
        <w:rPr>
          <w:rFonts w:ascii="宋体" w:hAnsi="宋体"/>
          <w:color w:val="000000" w:themeColor="text1"/>
          <w:spacing w:val="4"/>
          <w:sz w:val="24"/>
          <w14:textFill>
            <w14:solidFill>
              <w14:schemeClr w14:val="tx1"/>
            </w14:solidFill>
          </w14:textFill>
        </w:rPr>
        <w:t>5</w:t>
      </w:r>
      <w:r>
        <w:rPr>
          <w:rFonts w:hint="eastAsia" w:ascii="宋体" w:hAnsi="宋体"/>
          <w:color w:val="000000" w:themeColor="text1"/>
          <w:spacing w:val="4"/>
          <w:sz w:val="24"/>
          <w14:textFill>
            <w14:solidFill>
              <w14:schemeClr w14:val="tx1"/>
            </w14:solidFill>
          </w14:textFill>
        </w:rPr>
        <w:t>日</w:t>
      </w:r>
      <w:r>
        <w:rPr>
          <w:rFonts w:ascii="宋体" w:hAnsi="宋体"/>
          <w:color w:val="000000" w:themeColor="text1"/>
          <w:spacing w:val="4"/>
          <w:sz w:val="24"/>
          <w14:textFill>
            <w14:solidFill>
              <w14:schemeClr w14:val="tx1"/>
            </w14:solidFill>
          </w14:textFill>
        </w:rPr>
        <w:t>9</w:t>
      </w:r>
      <w:r>
        <w:rPr>
          <w:rFonts w:hint="eastAsia" w:ascii="宋体" w:hAnsi="宋体"/>
          <w:color w:val="000000" w:themeColor="text1"/>
          <w:spacing w:val="4"/>
          <w:sz w:val="24"/>
          <w14:textFill>
            <w14:solidFill>
              <w14:schemeClr w14:val="tx1"/>
            </w14:solidFill>
          </w14:textFill>
        </w:rPr>
        <w:t>时</w:t>
      </w:r>
      <w:r>
        <w:rPr>
          <w:rFonts w:ascii="宋体" w:hAnsi="宋体"/>
          <w:color w:val="000000" w:themeColor="text1"/>
          <w:spacing w:val="4"/>
          <w:sz w:val="24"/>
          <w14:textFill>
            <w14:solidFill>
              <w14:schemeClr w14:val="tx1"/>
            </w14:solidFill>
          </w14:textFill>
        </w:rPr>
        <w:t>3</w:t>
      </w:r>
      <w:r>
        <w:rPr>
          <w:rFonts w:hint="eastAsia" w:ascii="宋体" w:hAnsi="宋体"/>
          <w:color w:val="000000" w:themeColor="text1"/>
          <w:spacing w:val="4"/>
          <w:sz w:val="24"/>
          <w14:textFill>
            <w14:solidFill>
              <w14:schemeClr w14:val="tx1"/>
            </w14:solidFill>
          </w14:textFill>
        </w:rPr>
        <w:t>0分</w:t>
      </w:r>
    </w:p>
    <w:p>
      <w:pPr>
        <w:spacing w:line="360" w:lineRule="auto"/>
        <w:ind w:firstLine="498" w:firstLineChars="200"/>
        <w:rPr>
          <w:rFonts w:ascii="宋体" w:hAnsi="宋体"/>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（2）投标文件及</w:t>
      </w:r>
      <w:r>
        <w:rPr>
          <w:rFonts w:ascii="宋体" w:hAnsi="宋体"/>
          <w:b/>
          <w:color w:val="000000" w:themeColor="text1"/>
          <w:spacing w:val="4"/>
          <w:sz w:val="24"/>
          <w14:textFill>
            <w14:solidFill>
              <w14:schemeClr w14:val="tx1"/>
            </w14:solidFill>
          </w14:textFill>
        </w:rPr>
        <w:t>样品</w:t>
      </w:r>
      <w:r>
        <w:rPr>
          <w:rFonts w:hint="eastAsia" w:ascii="宋体" w:hAnsi="宋体"/>
          <w:b/>
          <w:color w:val="000000" w:themeColor="text1"/>
          <w:spacing w:val="4"/>
          <w:sz w:val="24"/>
          <w14:textFill>
            <w14:solidFill>
              <w14:schemeClr w14:val="tx1"/>
            </w14:solidFill>
          </w14:textFill>
        </w:rPr>
        <w:t>接收截止时间及开标时间</w:t>
      </w:r>
      <w:r>
        <w:rPr>
          <w:rFonts w:hint="eastAsia" w:ascii="宋体"/>
          <w:b/>
          <w:color w:val="000000" w:themeColor="text1"/>
          <w:spacing w:val="4"/>
          <w:sz w:val="24"/>
          <w14:textFill>
            <w14:solidFill>
              <w14:schemeClr w14:val="tx1"/>
            </w14:solidFill>
          </w14:textFill>
        </w:rPr>
        <w:t>：</w:t>
      </w:r>
      <w:r>
        <w:rPr>
          <w:rFonts w:ascii="宋体" w:hAnsi="宋体"/>
          <w:color w:val="000000" w:themeColor="text1"/>
          <w:spacing w:val="2"/>
          <w:kern w:val="0"/>
          <w:sz w:val="24"/>
          <w14:textFill>
            <w14:solidFill>
              <w14:schemeClr w14:val="tx1"/>
            </w14:solidFill>
          </w14:textFill>
        </w:rPr>
        <w:t>2</w:t>
      </w:r>
      <w:r>
        <w:rPr>
          <w:rFonts w:ascii="宋体" w:hAnsi="宋体"/>
          <w:color w:val="000000" w:themeColor="text1"/>
          <w:spacing w:val="4"/>
          <w:sz w:val="24"/>
          <w14:textFill>
            <w14:solidFill>
              <w14:schemeClr w14:val="tx1"/>
            </w14:solidFill>
          </w14:textFill>
        </w:rPr>
        <w:t>0</w:t>
      </w:r>
      <w:r>
        <w:rPr>
          <w:rFonts w:hint="eastAsia" w:ascii="宋体" w:hAnsi="宋体"/>
          <w:color w:val="000000" w:themeColor="text1"/>
          <w:spacing w:val="4"/>
          <w:sz w:val="24"/>
          <w14:textFill>
            <w14:solidFill>
              <w14:schemeClr w14:val="tx1"/>
            </w14:solidFill>
          </w14:textFill>
        </w:rPr>
        <w:t>2</w:t>
      </w:r>
      <w:r>
        <w:rPr>
          <w:rFonts w:ascii="宋体" w:hAnsi="宋体"/>
          <w:color w:val="000000" w:themeColor="text1"/>
          <w:spacing w:val="4"/>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年6 月1</w:t>
      </w:r>
      <w:r>
        <w:rPr>
          <w:rFonts w:ascii="宋体" w:hAnsi="宋体"/>
          <w:color w:val="000000" w:themeColor="text1"/>
          <w:spacing w:val="4"/>
          <w:sz w:val="24"/>
          <w14:textFill>
            <w14:solidFill>
              <w14:schemeClr w14:val="tx1"/>
            </w14:solidFill>
          </w14:textFill>
        </w:rPr>
        <w:t>5</w:t>
      </w:r>
      <w:r>
        <w:rPr>
          <w:rFonts w:hint="eastAsia" w:ascii="宋体" w:hAnsi="宋体"/>
          <w:color w:val="000000" w:themeColor="text1"/>
          <w:spacing w:val="4"/>
          <w:sz w:val="24"/>
          <w14:textFill>
            <w14:solidFill>
              <w14:schemeClr w14:val="tx1"/>
            </w14:solidFill>
          </w14:textFill>
        </w:rPr>
        <w:t>日</w:t>
      </w:r>
      <w:r>
        <w:rPr>
          <w:rFonts w:ascii="宋体" w:hAnsi="宋体"/>
          <w:color w:val="000000" w:themeColor="text1"/>
          <w:spacing w:val="4"/>
          <w:sz w:val="24"/>
          <w14:textFill>
            <w14:solidFill>
              <w14:schemeClr w14:val="tx1"/>
            </w14:solidFill>
          </w14:textFill>
        </w:rPr>
        <w:t>10</w:t>
      </w:r>
      <w:r>
        <w:rPr>
          <w:rFonts w:hint="eastAsia" w:ascii="宋体" w:hAnsi="宋体"/>
          <w:color w:val="000000" w:themeColor="text1"/>
          <w:spacing w:val="4"/>
          <w:sz w:val="24"/>
          <w14:textFill>
            <w14:solidFill>
              <w14:schemeClr w14:val="tx1"/>
            </w14:solidFill>
          </w14:textFill>
        </w:rPr>
        <w:t>时</w:t>
      </w:r>
      <w:r>
        <w:rPr>
          <w:rFonts w:ascii="宋体"/>
          <w:color w:val="000000" w:themeColor="text1"/>
          <w:spacing w:val="4"/>
          <w:sz w:val="24"/>
          <w14:textFill>
            <w14:solidFill>
              <w14:schemeClr w14:val="tx1"/>
            </w14:solidFill>
          </w14:textFill>
        </w:rPr>
        <w:t>00</w:t>
      </w:r>
      <w:r>
        <w:rPr>
          <w:rFonts w:hint="eastAsia" w:ascii="宋体" w:hAnsi="宋体"/>
          <w:color w:val="000000" w:themeColor="text1"/>
          <w:spacing w:val="4"/>
          <w:sz w:val="24"/>
          <w14:textFill>
            <w14:solidFill>
              <w14:schemeClr w14:val="tx1"/>
            </w14:solidFill>
          </w14:textFill>
        </w:rPr>
        <w:t xml:space="preserve">分 </w:t>
      </w:r>
    </w:p>
    <w:p>
      <w:pPr>
        <w:spacing w:line="360" w:lineRule="auto"/>
        <w:ind w:firstLine="498" w:firstLineChars="200"/>
        <w:rPr>
          <w:rFonts w:ascii="宋体" w:hAnsi="宋体" w:cs="宋体"/>
          <w:color w:val="333333"/>
          <w:kern w:val="0"/>
          <w:sz w:val="24"/>
        </w:rPr>
      </w:pPr>
      <w:r>
        <w:rPr>
          <w:rFonts w:hint="eastAsia" w:ascii="宋体"/>
          <w:b/>
          <w:color w:val="000000" w:themeColor="text1"/>
          <w:spacing w:val="4"/>
          <w:sz w:val="24"/>
          <w14:textFill>
            <w14:solidFill>
              <w14:schemeClr w14:val="tx1"/>
            </w14:solidFill>
          </w14:textFill>
        </w:rPr>
        <w:t>（3）投标文件及</w:t>
      </w:r>
      <w:r>
        <w:rPr>
          <w:rFonts w:ascii="宋体"/>
          <w:b/>
          <w:color w:val="000000" w:themeColor="text1"/>
          <w:spacing w:val="4"/>
          <w:sz w:val="24"/>
          <w14:textFill>
            <w14:solidFill>
              <w14:schemeClr w14:val="tx1"/>
            </w14:solidFill>
          </w14:textFill>
        </w:rPr>
        <w:t>样品</w:t>
      </w:r>
      <w:r>
        <w:rPr>
          <w:rFonts w:hint="eastAsia" w:ascii="宋体"/>
          <w:b/>
          <w:color w:val="000000" w:themeColor="text1"/>
          <w:spacing w:val="4"/>
          <w:sz w:val="24"/>
          <w14:textFill>
            <w14:solidFill>
              <w14:schemeClr w14:val="tx1"/>
            </w14:solidFill>
          </w14:textFill>
        </w:rPr>
        <w:t>接收地点：</w:t>
      </w:r>
      <w:r>
        <w:rPr>
          <w:rFonts w:hint="eastAsia" w:ascii="宋体" w:hAnsi="宋体"/>
          <w:color w:val="000000" w:themeColor="text1"/>
          <w:spacing w:val="4"/>
          <w:sz w:val="24"/>
          <w14:textFill>
            <w14:solidFill>
              <w14:schemeClr w14:val="tx1"/>
            </w14:solidFill>
          </w14:textFill>
        </w:rPr>
        <w:t>南通大学</w:t>
      </w:r>
      <w:r>
        <w:rPr>
          <w:rFonts w:hint="eastAsia" w:ascii="宋体" w:hAnsi="宋体" w:cs="宋体"/>
          <w:color w:val="333333"/>
          <w:kern w:val="0"/>
          <w:sz w:val="24"/>
        </w:rPr>
        <w:t>启东校区综合楼201</w:t>
      </w:r>
    </w:p>
    <w:p>
      <w:pPr>
        <w:shd w:val="clear" w:color="auto" w:fill="FFFFFF"/>
        <w:spacing w:line="338" w:lineRule="atLeast"/>
        <w:ind w:firstLine="495"/>
        <w:rPr>
          <w:rFonts w:ascii="宋体" w:hAnsi="宋体" w:cs="宋体"/>
          <w:color w:val="333333"/>
          <w:kern w:val="0"/>
          <w:sz w:val="23"/>
          <w:szCs w:val="23"/>
        </w:rPr>
      </w:pPr>
      <w:r>
        <w:rPr>
          <w:rFonts w:hint="eastAsia" w:ascii="宋体" w:hAnsi="宋体"/>
          <w:b/>
          <w:color w:val="000000" w:themeColor="text1"/>
          <w:spacing w:val="4"/>
          <w:sz w:val="24"/>
          <w14:textFill>
            <w14:solidFill>
              <w14:schemeClr w14:val="tx1"/>
            </w14:solidFill>
          </w14:textFill>
        </w:rPr>
        <w:t>十一、</w:t>
      </w:r>
      <w:r>
        <w:rPr>
          <w:rFonts w:hint="eastAsia" w:ascii="宋体" w:hAnsi="宋体" w:cs="宋体"/>
          <w:b/>
          <w:bCs/>
          <w:color w:val="333333"/>
          <w:kern w:val="0"/>
          <w:sz w:val="24"/>
        </w:rPr>
        <w:t>开标地点及评标地点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开标地点：南通大学启东校区综合楼201（即：投标文件接收地点）</w:t>
      </w:r>
    </w:p>
    <w:p>
      <w:pPr>
        <w:spacing w:line="360" w:lineRule="auto"/>
        <w:ind w:firstLine="480" w:firstLineChars="200"/>
        <w:rPr>
          <w:rFonts w:ascii="宋体" w:hAnsi="宋体" w:cs="宋体"/>
          <w:color w:val="333333"/>
          <w:kern w:val="0"/>
          <w:sz w:val="23"/>
          <w:szCs w:val="23"/>
        </w:rPr>
      </w:pPr>
      <w:r>
        <w:rPr>
          <w:rFonts w:hint="eastAsia"/>
          <w:color w:val="000000" w:themeColor="text1"/>
          <w:sz w:val="24"/>
          <w14:textFill>
            <w14:solidFill>
              <w14:schemeClr w14:val="tx1"/>
            </w14:solidFill>
          </w14:textFill>
        </w:rPr>
        <w:t xml:space="preserve">评标地点：南通大学启东校区综合楼306 </w:t>
      </w:r>
      <w:r>
        <w:rPr>
          <w:rFonts w:hint="eastAsia" w:ascii="宋体" w:hAnsi="宋体" w:cs="宋体"/>
          <w:color w:val="333333"/>
          <w:kern w:val="0"/>
          <w:sz w:val="24"/>
        </w:rPr>
        <w:t>   </w:t>
      </w:r>
      <w:r>
        <w:rPr>
          <w:rFonts w:hint="eastAsia" w:ascii="宋体" w:hAnsi="宋体"/>
          <w:color w:val="000000" w:themeColor="text1"/>
          <w:spacing w:val="2"/>
          <w:kern w:val="0"/>
          <w:sz w:val="24"/>
          <w14:textFill>
            <w14:solidFill>
              <w14:schemeClr w14:val="tx1"/>
            </w14:solidFill>
          </w14:textFill>
        </w:rPr>
        <w:t xml:space="preserve">             </w:t>
      </w:r>
    </w:p>
    <w:p>
      <w:pPr>
        <w:spacing w:line="360" w:lineRule="auto"/>
        <w:ind w:firstLine="490" w:firstLineChars="200"/>
        <w:rPr>
          <w:rFonts w:ascii="宋体"/>
          <w:b/>
          <w:color w:val="000000" w:themeColor="text1"/>
          <w:spacing w:val="2"/>
          <w:kern w:val="0"/>
          <w:sz w:val="24"/>
          <w14:textFill>
            <w14:solidFill>
              <w14:schemeClr w14:val="tx1"/>
            </w14:solidFill>
          </w14:textFill>
        </w:rPr>
      </w:pPr>
      <w:r>
        <w:rPr>
          <w:rFonts w:hint="eastAsia" w:ascii="宋体" w:hAnsi="宋体"/>
          <w:b/>
          <w:color w:val="000000" w:themeColor="text1"/>
          <w:spacing w:val="2"/>
          <w:kern w:val="0"/>
          <w:sz w:val="24"/>
          <w14:textFill>
            <w14:solidFill>
              <w14:schemeClr w14:val="tx1"/>
            </w14:solidFill>
          </w14:textFill>
        </w:rPr>
        <w:t>十二、与本次谈判有关的事宜请按下列通讯方式联系</w:t>
      </w:r>
    </w:p>
    <w:p>
      <w:pPr>
        <w:spacing w:line="360" w:lineRule="auto"/>
        <w:ind w:firstLine="488" w:firstLineChars="200"/>
        <w:rPr>
          <w:rFonts w:ascii="宋体"/>
          <w:color w:val="000000" w:themeColor="text1"/>
          <w:spacing w:val="2"/>
          <w:kern w:val="0"/>
          <w:sz w:val="24"/>
          <w14:textFill>
            <w14:solidFill>
              <w14:schemeClr w14:val="tx1"/>
            </w14:solidFill>
          </w14:textFill>
        </w:rPr>
      </w:pPr>
      <w:r>
        <w:rPr>
          <w:rFonts w:hint="eastAsia" w:ascii="宋体" w:hAnsi="宋体"/>
          <w:color w:val="000000" w:themeColor="text1"/>
          <w:spacing w:val="2"/>
          <w:kern w:val="0"/>
          <w:sz w:val="24"/>
          <w14:textFill>
            <w14:solidFill>
              <w14:schemeClr w14:val="tx1"/>
            </w14:solidFill>
          </w14:textFill>
        </w:rPr>
        <w:t>如对技术条款有疑问请咨询项目联系人；如对商务条款、采购程序及结果有质疑请咨询招标联系人。</w:t>
      </w:r>
    </w:p>
    <w:p>
      <w:pPr>
        <w:spacing w:line="360" w:lineRule="auto"/>
        <w:ind w:firstLine="490" w:firstLineChars="200"/>
        <w:rPr>
          <w:rFonts w:ascii="宋体"/>
          <w:color w:val="000000" w:themeColor="text1"/>
          <w:spacing w:val="2"/>
          <w:kern w:val="0"/>
          <w:sz w:val="24"/>
          <w14:textFill>
            <w14:solidFill>
              <w14:schemeClr w14:val="tx1"/>
            </w14:solidFill>
          </w14:textFill>
        </w:rPr>
      </w:pPr>
      <w:r>
        <w:rPr>
          <w:rFonts w:hint="eastAsia" w:ascii="宋体" w:hAnsi="宋体"/>
          <w:b/>
          <w:color w:val="000000" w:themeColor="text1"/>
          <w:spacing w:val="2"/>
          <w:kern w:val="0"/>
          <w:sz w:val="24"/>
          <w14:textFill>
            <w14:solidFill>
              <w14:schemeClr w14:val="tx1"/>
            </w14:solidFill>
          </w14:textFill>
        </w:rPr>
        <w:t>项目联系人及联系方式：</w:t>
      </w:r>
      <w:r>
        <w:rPr>
          <w:rFonts w:hint="eastAsia" w:ascii="宋体" w:hAnsi="宋体"/>
          <w:color w:val="000000" w:themeColor="text1"/>
          <w:spacing w:val="2"/>
          <w:kern w:val="0"/>
          <w:sz w:val="24"/>
          <w14:textFill>
            <w14:solidFill>
              <w14:schemeClr w14:val="tx1"/>
            </w14:solidFill>
          </w14:textFill>
        </w:rPr>
        <w:t>陈老师13914398509</w:t>
      </w:r>
    </w:p>
    <w:p>
      <w:pPr>
        <w:spacing w:line="360" w:lineRule="auto"/>
        <w:ind w:firstLine="490" w:firstLineChars="200"/>
        <w:rPr>
          <w:sz w:val="24"/>
        </w:rPr>
      </w:pPr>
      <w:r>
        <w:rPr>
          <w:rFonts w:hint="eastAsia" w:ascii="宋体" w:hAnsi="宋体"/>
          <w:b/>
          <w:color w:val="000000" w:themeColor="text1"/>
          <w:spacing w:val="2"/>
          <w:kern w:val="0"/>
          <w:sz w:val="24"/>
          <w14:textFill>
            <w14:solidFill>
              <w14:schemeClr w14:val="tx1"/>
            </w14:solidFill>
          </w14:textFill>
        </w:rPr>
        <w:t>招标联系人及联系方式：</w:t>
      </w:r>
      <w:r>
        <w:rPr>
          <w:rFonts w:hint="eastAsia"/>
          <w:sz w:val="24"/>
        </w:rPr>
        <w:t xml:space="preserve">姚老师 </w:t>
      </w:r>
      <w:r>
        <w:rPr>
          <w:rFonts w:hint="eastAsia" w:ascii="宋体" w:hAnsi="宋体" w:eastAsia="宋体" w:cs="宋体"/>
          <w:sz w:val="24"/>
        </w:rPr>
        <w:t>13615208656</w:t>
      </w:r>
    </w:p>
    <w:p>
      <w:pPr>
        <w:spacing w:line="360" w:lineRule="auto"/>
        <w:rPr>
          <w:rFonts w:ascii="宋体" w:hAnsi="宋体"/>
          <w:color w:val="000000" w:themeColor="text1"/>
          <w:spacing w:val="2"/>
          <w:kern w:val="0"/>
          <w:sz w:val="24"/>
          <w14:textFill>
            <w14:solidFill>
              <w14:schemeClr w14:val="tx1"/>
            </w14:solidFill>
          </w14:textFill>
        </w:rPr>
      </w:pPr>
    </w:p>
    <w:p>
      <w:pPr>
        <w:widowControl/>
        <w:spacing w:line="338" w:lineRule="atLeast"/>
        <w:ind w:left="142" w:firstLine="422"/>
        <w:jc w:val="left"/>
        <w:rPr>
          <w:rFonts w:ascii="微软雅黑" w:hAnsi="微软雅黑" w:eastAsia="微软雅黑" w:cs="宋体"/>
          <w:color w:val="333333"/>
          <w:kern w:val="0"/>
          <w:sz w:val="23"/>
          <w:szCs w:val="23"/>
        </w:rPr>
      </w:pPr>
      <w:r>
        <w:rPr>
          <w:rFonts w:hint="eastAsia" w:ascii="宋体" w:hAnsi="宋体" w:cs="宋体"/>
          <w:color w:val="333333"/>
          <w:spacing w:val="4"/>
          <w:kern w:val="0"/>
          <w:sz w:val="24"/>
        </w:rPr>
        <w:t>如对招标文件存在</w:t>
      </w:r>
      <w:r>
        <w:rPr>
          <w:rFonts w:hint="eastAsia" w:ascii="宋体" w:hAnsi="宋体" w:cs="宋体"/>
          <w:color w:val="333333"/>
          <w:kern w:val="0"/>
          <w:sz w:val="24"/>
        </w:rPr>
        <w:t>质疑</w:t>
      </w:r>
      <w:r>
        <w:rPr>
          <w:rFonts w:hint="eastAsia" w:ascii="宋体" w:hAnsi="宋体" w:cs="宋体"/>
          <w:color w:val="333333"/>
          <w:spacing w:val="4"/>
          <w:kern w:val="0"/>
          <w:sz w:val="24"/>
        </w:rPr>
        <w:t>，请在</w:t>
      </w:r>
      <w:r>
        <w:rPr>
          <w:rFonts w:hint="eastAsia" w:ascii="宋体" w:hAnsi="宋体" w:cs="宋体"/>
          <w:color w:val="333333"/>
          <w:kern w:val="0"/>
          <w:sz w:val="24"/>
        </w:rPr>
        <w:t>投标截止时间</w:t>
      </w:r>
      <w:r>
        <w:rPr>
          <w:rFonts w:ascii="宋体" w:hAnsi="宋体" w:cs="宋体"/>
          <w:color w:val="333333"/>
          <w:kern w:val="0"/>
          <w:sz w:val="24"/>
        </w:rPr>
        <w:t>7</w:t>
      </w:r>
      <w:r>
        <w:rPr>
          <w:rFonts w:hint="eastAsia" w:ascii="宋体" w:hAnsi="宋体" w:cs="宋体"/>
          <w:color w:val="333333"/>
          <w:kern w:val="0"/>
          <w:sz w:val="24"/>
        </w:rPr>
        <w:t>日前</w:t>
      </w:r>
      <w:r>
        <w:rPr>
          <w:rFonts w:hint="eastAsia" w:ascii="宋体" w:hAnsi="宋体" w:cs="宋体"/>
          <w:color w:val="333333"/>
          <w:spacing w:val="4"/>
          <w:kern w:val="0"/>
          <w:sz w:val="24"/>
        </w:rPr>
        <w:t>以书面形式提出（加盖公章，填写联系人姓名和电话）</w:t>
      </w:r>
      <w:r>
        <w:fldChar w:fldCharType="begin"/>
      </w:r>
      <w:r>
        <w:instrText xml:space="preserve"> HYPERLINK "mailto:发送至qdxqgwh@ntu.edu.cn" </w:instrText>
      </w:r>
      <w:r>
        <w:fldChar w:fldCharType="separate"/>
      </w:r>
      <w:r>
        <w:rPr>
          <w:rStyle w:val="34"/>
          <w:rFonts w:hint="eastAsia" w:ascii="宋体" w:hAnsi="宋体" w:cs="宋体"/>
          <w:spacing w:val="4"/>
          <w:kern w:val="0"/>
          <w:sz w:val="24"/>
        </w:rPr>
        <w:t>发送至</w:t>
      </w:r>
      <w:r>
        <w:rPr>
          <w:rStyle w:val="34"/>
          <w:rFonts w:hint="eastAsia"/>
          <w:shd w:val="clear" w:color="auto" w:fill="FFFFFF"/>
        </w:rPr>
        <w:t>qdxqgwh@ntu.edu.cn</w:t>
      </w:r>
      <w:r>
        <w:rPr>
          <w:rStyle w:val="34"/>
          <w:rFonts w:hint="eastAsia"/>
          <w:shd w:val="clear" w:color="auto" w:fill="FFFFFF"/>
        </w:rPr>
        <w:fldChar w:fldCharType="end"/>
      </w:r>
      <w:r>
        <w:rPr>
          <w:rFonts w:hint="eastAsia"/>
          <w:color w:val="333333"/>
          <w:shd w:val="clear" w:color="auto" w:fill="FFFFFF"/>
        </w:rPr>
        <w:t>。</w:t>
      </w:r>
      <w:r>
        <w:rPr>
          <w:rFonts w:hint="eastAsia" w:ascii="宋体" w:hAnsi="宋体" w:cs="宋体"/>
          <w:color w:val="333333"/>
          <w:kern w:val="0"/>
          <w:sz w:val="23"/>
          <w:szCs w:val="23"/>
        </w:rPr>
        <w:t>    </w:t>
      </w:r>
    </w:p>
    <w:p>
      <w:pPr>
        <w:widowControl/>
        <w:spacing w:line="338" w:lineRule="atLeast"/>
        <w:ind w:firstLine="562"/>
        <w:jc w:val="left"/>
        <w:rPr>
          <w:rFonts w:ascii="微软雅黑" w:hAnsi="微软雅黑" w:eastAsia="微软雅黑" w:cs="宋体"/>
          <w:color w:val="333333"/>
          <w:kern w:val="0"/>
          <w:sz w:val="23"/>
          <w:szCs w:val="23"/>
        </w:rPr>
      </w:pPr>
      <w:r>
        <w:rPr>
          <w:rFonts w:hint="eastAsia" w:ascii="微软雅黑" w:hAnsi="微软雅黑" w:eastAsia="微软雅黑" w:cs="宋体"/>
          <w:b/>
          <w:bCs/>
          <w:color w:val="000000"/>
          <w:kern w:val="0"/>
          <w:sz w:val="28"/>
          <w:szCs w:val="28"/>
        </w:rPr>
        <w:t>      </w:t>
      </w:r>
    </w:p>
    <w:p>
      <w:pPr>
        <w:spacing w:line="360" w:lineRule="auto"/>
        <w:ind w:firstLine="488" w:firstLineChars="200"/>
        <w:rPr>
          <w:rFonts w:ascii="宋体"/>
          <w:color w:val="000000" w:themeColor="text1"/>
          <w:spacing w:val="2"/>
          <w:kern w:val="0"/>
          <w:sz w:val="24"/>
          <w14:textFill>
            <w14:solidFill>
              <w14:schemeClr w14:val="tx1"/>
            </w14:solidFill>
          </w14:textFill>
        </w:rPr>
      </w:pPr>
    </w:p>
    <w:p>
      <w:pPr>
        <w:spacing w:line="360" w:lineRule="auto"/>
        <w:ind w:firstLine="488" w:firstLineChars="200"/>
        <w:rPr>
          <w:rFonts w:ascii="宋体"/>
          <w:color w:val="000000" w:themeColor="text1"/>
          <w:spacing w:val="2"/>
          <w:kern w:val="0"/>
          <w:sz w:val="24"/>
          <w14:textFill>
            <w14:solidFill>
              <w14:schemeClr w14:val="tx1"/>
            </w14:solidFill>
          </w14:textFill>
        </w:rPr>
      </w:pPr>
    </w:p>
    <w:p>
      <w:pPr>
        <w:spacing w:line="360" w:lineRule="auto"/>
        <w:ind w:firstLine="488" w:firstLineChars="200"/>
        <w:rPr>
          <w:rFonts w:ascii="宋体"/>
          <w:color w:val="000000" w:themeColor="text1"/>
          <w:spacing w:val="2"/>
          <w:kern w:val="0"/>
          <w:sz w:val="24"/>
          <w14:textFill>
            <w14:solidFill>
              <w14:schemeClr w14:val="tx1"/>
            </w14:solidFill>
          </w14:textFill>
        </w:rPr>
      </w:pPr>
    </w:p>
    <w:p>
      <w:pPr>
        <w:spacing w:line="360" w:lineRule="auto"/>
        <w:rPr>
          <w:color w:val="000000" w:themeColor="text1"/>
          <w14:textFill>
            <w14:solidFill>
              <w14:schemeClr w14:val="tx1"/>
            </w14:solidFill>
          </w14:textFill>
        </w:rPr>
      </w:pPr>
      <w:r>
        <w:rPr>
          <w:color w:val="000000" w:themeColor="text1"/>
          <w:spacing w:val="4"/>
          <w:sz w:val="24"/>
          <w14:textFill>
            <w14:solidFill>
              <w14:schemeClr w14:val="tx1"/>
            </w14:solidFill>
          </w14:textFill>
        </w:rPr>
        <w:br w:type="page"/>
      </w:r>
    </w:p>
    <w:p>
      <w:pPr>
        <w:pStyle w:val="2"/>
        <w:jc w:val="center"/>
        <w:rPr>
          <w:color w:val="000000" w:themeColor="text1"/>
          <w14:textFill>
            <w14:solidFill>
              <w14:schemeClr w14:val="tx1"/>
            </w14:solidFill>
          </w14:textFill>
        </w:rPr>
      </w:pPr>
      <w:bookmarkStart w:id="1" w:name="_Toc71711247"/>
      <w:r>
        <w:rPr>
          <w:rFonts w:hint="eastAsia"/>
          <w:color w:val="000000" w:themeColor="text1"/>
          <w14:textFill>
            <w14:solidFill>
              <w14:schemeClr w14:val="tx1"/>
            </w14:solidFill>
          </w14:textFill>
        </w:rPr>
        <w:t>第二部分投标人须知</w:t>
      </w:r>
      <w:bookmarkEnd w:id="1"/>
    </w:p>
    <w:p>
      <w:pPr>
        <w:pStyle w:val="3"/>
        <w:rPr>
          <w:color w:val="000000" w:themeColor="text1"/>
          <w14:textFill>
            <w14:solidFill>
              <w14:schemeClr w14:val="tx1"/>
            </w14:solidFill>
          </w14:textFill>
        </w:rPr>
      </w:pPr>
      <w:bookmarkStart w:id="2" w:name="_Toc71711248"/>
      <w:r>
        <w:rPr>
          <w:rFonts w:hint="eastAsia"/>
          <w:color w:val="000000" w:themeColor="text1"/>
          <w14:textFill>
            <w14:solidFill>
              <w14:schemeClr w14:val="tx1"/>
            </w14:solidFill>
          </w14:textFill>
        </w:rPr>
        <w:t>一、招标文件</w:t>
      </w:r>
      <w:bookmarkEnd w:id="2"/>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1.1. </w:t>
      </w:r>
      <w:r>
        <w:rPr>
          <w:rFonts w:hint="eastAsia"/>
          <w:color w:val="000000" w:themeColor="text1"/>
          <w:sz w:val="24"/>
          <w14:textFill>
            <w14:solidFill>
              <w14:schemeClr w14:val="tx1"/>
            </w14:solidFill>
          </w14:textFill>
        </w:rPr>
        <w:t>名词定义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本招标文件中的招标人、投标人、中标人分别指：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）招标人指南通大学，亦称买方。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）投标人指响应招标并具备相应资质的参与投标的制造（厂）商、代理商。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）中标人指最后中标的投标人，亦称卖方。</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1.2. </w:t>
      </w:r>
      <w:r>
        <w:rPr>
          <w:rFonts w:hint="eastAsia"/>
          <w:color w:val="000000" w:themeColor="text1"/>
          <w:sz w:val="24"/>
          <w14:textFill>
            <w14:solidFill>
              <w14:schemeClr w14:val="tx1"/>
            </w14:solidFill>
          </w14:textFill>
        </w:rPr>
        <w:t>招标文件的组成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本招标文件由下列部分组成：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）公开招标采购公告</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）投标人须知</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）招标货物要求及相关说明</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）合同主要条款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）附件目录及格式</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1.3. </w:t>
      </w:r>
      <w:r>
        <w:rPr>
          <w:rFonts w:hint="eastAsia"/>
          <w:color w:val="000000" w:themeColor="text1"/>
          <w:sz w:val="24"/>
          <w14:textFill>
            <w14:solidFill>
              <w14:schemeClr w14:val="tx1"/>
            </w14:solidFill>
          </w14:textFill>
        </w:rPr>
        <w:t>招标文件的澄清</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如投标人对招标文件的某些内容有疑问，应在投标截止时间</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日前以书面形式邮件（</w:t>
      </w:r>
      <w:r>
        <w:rPr>
          <w:rFonts w:hint="eastAsia" w:ascii="宋体" w:hAnsi="宋体"/>
          <w:color w:val="000000" w:themeColor="text1"/>
          <w:spacing w:val="2"/>
          <w:kern w:val="0"/>
          <w:sz w:val="24"/>
          <w14:textFill>
            <w14:solidFill>
              <w14:schemeClr w14:val="tx1"/>
            </w14:solidFill>
          </w14:textFill>
        </w:rPr>
        <w:t>qdxqgwh@ntu.edu.cn</w:t>
      </w:r>
      <w:r>
        <w:rPr>
          <w:rFonts w:hint="eastAsia"/>
          <w:color w:val="000000" w:themeColor="text1"/>
          <w:sz w:val="24"/>
          <w14:textFill>
            <w14:solidFill>
              <w14:schemeClr w14:val="tx1"/>
            </w14:solidFill>
          </w14:textFill>
        </w:rPr>
        <w:t>）通知招标人，招标人将予以书面答复。招标人认为有必要时，可将答复内容（包括疑问内容，但不包括疑问来源）在南通大学启东校区建设指挥部网站上公开发布。</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1.4. </w:t>
      </w:r>
      <w:r>
        <w:rPr>
          <w:rFonts w:hint="eastAsia"/>
          <w:color w:val="000000" w:themeColor="text1"/>
          <w:sz w:val="24"/>
          <w14:textFill>
            <w14:solidFill>
              <w14:schemeClr w14:val="tx1"/>
            </w14:solidFill>
          </w14:textFill>
        </w:rPr>
        <w:t>招标文件的补充和修改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）招标人有权在投标截止时间</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日前对招标文件进行补充和修改，补充和修改的内容在南通大学招投标信息网站上公开发布。补充和修改的内容作为招标文件的组成部分，对投标人具有同等约束作用。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）如招标文件的补充和修改对投标人准备投标的时间有影响，招标人有权决定推迟投标截止时间和开标时间。</w:t>
      </w:r>
    </w:p>
    <w:p>
      <w:pPr>
        <w:spacing w:line="360" w:lineRule="auto"/>
        <w:ind w:firstLine="472" w:firstLineChars="196"/>
        <w:rPr>
          <w:b/>
          <w:color w:val="000000" w:themeColor="text1"/>
          <w:sz w:val="24"/>
          <w14:textFill>
            <w14:solidFill>
              <w14:schemeClr w14:val="tx1"/>
            </w14:solidFill>
          </w14:textFill>
        </w:rPr>
      </w:pPr>
    </w:p>
    <w:p>
      <w:pPr>
        <w:pStyle w:val="3"/>
        <w:rPr>
          <w:color w:val="000000" w:themeColor="text1"/>
          <w14:textFill>
            <w14:solidFill>
              <w14:schemeClr w14:val="tx1"/>
            </w14:solidFill>
          </w14:textFill>
        </w:rPr>
      </w:pPr>
      <w:bookmarkStart w:id="3" w:name="_Toc71711249"/>
      <w:r>
        <w:rPr>
          <w:rFonts w:hint="eastAsia"/>
          <w:color w:val="000000" w:themeColor="text1"/>
          <w14:textFill>
            <w14:solidFill>
              <w14:schemeClr w14:val="tx1"/>
            </w14:solidFill>
          </w14:textFill>
        </w:rPr>
        <w:t>二、投标文件</w:t>
      </w:r>
      <w:bookmarkEnd w:id="3"/>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2.1. </w:t>
      </w:r>
      <w:r>
        <w:rPr>
          <w:rFonts w:hint="eastAsia"/>
          <w:color w:val="000000" w:themeColor="text1"/>
          <w:sz w:val="24"/>
          <w14:textFill>
            <w14:solidFill>
              <w14:schemeClr w14:val="tx1"/>
            </w14:solidFill>
          </w14:textFill>
        </w:rPr>
        <w:t>投标文件的语言</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）投标文件及来往函件均应使用中文。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）授权文件、产品说明书、样本等非中文材料，其中的要点应附有中文译文。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2.2. </w:t>
      </w:r>
      <w:r>
        <w:rPr>
          <w:rFonts w:hint="eastAsia"/>
          <w:color w:val="000000" w:themeColor="text1"/>
          <w:sz w:val="24"/>
          <w14:textFill>
            <w14:solidFill>
              <w14:schemeClr w14:val="tx1"/>
            </w14:solidFill>
          </w14:textFill>
        </w:rPr>
        <w:t>投标文件的组成</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投标人编写的投标文件必须包括</w:t>
      </w:r>
      <w:r>
        <w:rPr>
          <w:rFonts w:hint="eastAsia"/>
          <w:b/>
          <w:color w:val="000000" w:themeColor="text1"/>
          <w:sz w:val="24"/>
          <w14:textFill>
            <w14:solidFill>
              <w14:schemeClr w14:val="tx1"/>
            </w14:solidFill>
          </w14:textFill>
        </w:rPr>
        <w:t>商务文件、资格证明文件</w:t>
      </w:r>
      <w:r>
        <w:rPr>
          <w:rFonts w:hint="eastAsia"/>
          <w:color w:val="000000" w:themeColor="text1"/>
          <w:sz w:val="24"/>
          <w14:textFill>
            <w14:solidFill>
              <w14:schemeClr w14:val="tx1"/>
            </w14:solidFill>
          </w14:textFill>
        </w:rPr>
        <w:t>和</w:t>
      </w: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商务文件（报价）：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）投标函（格式见附件</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）投标报价总表（格式见附件</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p>
    <w:p>
      <w:pPr>
        <w:pStyle w:val="58"/>
        <w:numPr>
          <w:ilvl w:val="0"/>
          <w:numId w:val="1"/>
        </w:numPr>
        <w:spacing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配置清单及分项报价表（格式见附件</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p>
    <w:p>
      <w:pPr>
        <w:pStyle w:val="58"/>
        <w:spacing w:line="360" w:lineRule="auto"/>
        <w:ind w:left="120" w:firstLine="361" w:firstLineChars="15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包括以下部分：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）不含报价的配置清单（格式见附件</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）技术规格响应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偏离表（格式见附件</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）商务条款响应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偏离表（格式见附件</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p>
    <w:p>
      <w:pPr>
        <w:spacing w:line="360" w:lineRule="auto"/>
        <w:ind w:firstLine="480" w:firstLineChars="200"/>
        <w:rPr>
          <w:color w:val="auto"/>
          <w:sz w:val="24"/>
        </w:rPr>
      </w:pPr>
      <w:r>
        <w:rPr>
          <w:rFonts w:hint="eastAsia"/>
          <w:color w:val="FF0000"/>
          <w:sz w:val="24"/>
        </w:rPr>
        <w:t>（</w:t>
      </w:r>
      <w:r>
        <w:rPr>
          <w:color w:val="auto"/>
          <w:sz w:val="24"/>
        </w:rPr>
        <w:t>4</w:t>
      </w:r>
      <w:r>
        <w:rPr>
          <w:rFonts w:hint="eastAsia"/>
          <w:color w:val="auto"/>
          <w:sz w:val="24"/>
        </w:rPr>
        <w:t>）安装、调试方案及售后服务承诺书或技术协议书</w:t>
      </w:r>
    </w:p>
    <w:p>
      <w:pPr>
        <w:spacing w:line="360" w:lineRule="auto"/>
        <w:ind w:firstLine="480" w:firstLineChars="200"/>
        <w:rPr>
          <w:color w:val="auto"/>
          <w:sz w:val="24"/>
        </w:rPr>
      </w:pPr>
      <w:r>
        <w:rPr>
          <w:rFonts w:hint="eastAsia"/>
          <w:color w:val="auto"/>
          <w:sz w:val="24"/>
        </w:rPr>
        <w:t>（</w:t>
      </w:r>
      <w:r>
        <w:rPr>
          <w:color w:val="auto"/>
          <w:sz w:val="24"/>
        </w:rPr>
        <w:t>5</w:t>
      </w:r>
      <w:r>
        <w:rPr>
          <w:rFonts w:hint="eastAsia"/>
          <w:color w:val="auto"/>
          <w:sz w:val="24"/>
        </w:rPr>
        <w:t>）产品质量承诺</w:t>
      </w:r>
    </w:p>
    <w:p>
      <w:pPr>
        <w:spacing w:line="360" w:lineRule="auto"/>
        <w:ind w:firstLine="480" w:firstLineChars="200"/>
        <w:rPr>
          <w:color w:val="auto"/>
          <w:sz w:val="24"/>
        </w:rPr>
      </w:pPr>
      <w:r>
        <w:rPr>
          <w:rFonts w:hint="eastAsia"/>
          <w:color w:val="auto"/>
          <w:sz w:val="24"/>
        </w:rPr>
        <w:t>（6）响应货物的技术服务、维保方案、售后服务体系、维修机构说明及维修保养资格说明（资质、资历、收费标准）</w:t>
      </w:r>
    </w:p>
    <w:p>
      <w:pPr>
        <w:spacing w:line="360" w:lineRule="auto"/>
        <w:ind w:firstLine="480" w:firstLineChars="200"/>
        <w:rPr>
          <w:color w:val="auto"/>
          <w:sz w:val="24"/>
        </w:rPr>
      </w:pPr>
      <w:r>
        <w:rPr>
          <w:rFonts w:hint="eastAsia"/>
          <w:color w:val="auto"/>
          <w:sz w:val="24"/>
        </w:rPr>
        <w:t>（7）投标人</w:t>
      </w:r>
      <w:r>
        <w:rPr>
          <w:color w:val="auto"/>
          <w:sz w:val="24"/>
        </w:rPr>
        <w:t>20</w:t>
      </w:r>
      <w:r>
        <w:rPr>
          <w:rFonts w:hint="eastAsia"/>
          <w:color w:val="auto"/>
          <w:sz w:val="24"/>
        </w:rPr>
        <w:t>1</w:t>
      </w:r>
      <w:r>
        <w:rPr>
          <w:color w:val="auto"/>
          <w:sz w:val="24"/>
        </w:rPr>
        <w:t>8</w:t>
      </w:r>
      <w:r>
        <w:rPr>
          <w:rFonts w:hint="eastAsia"/>
          <w:color w:val="auto"/>
          <w:sz w:val="24"/>
        </w:rPr>
        <w:t>年1月以来与本次招标货物同类产品的销售业绩（合同复印件，原件备查）</w:t>
      </w:r>
    </w:p>
    <w:p>
      <w:pPr>
        <w:spacing w:line="360" w:lineRule="auto"/>
        <w:ind w:firstLine="480" w:firstLineChars="200"/>
        <w:rPr>
          <w:b/>
          <w:color w:val="auto"/>
          <w:sz w:val="24"/>
        </w:rPr>
      </w:pPr>
      <w:r>
        <w:rPr>
          <w:rFonts w:hint="eastAsia"/>
          <w:color w:val="auto"/>
          <w:sz w:val="24"/>
        </w:rPr>
        <w:t>（</w:t>
      </w:r>
      <w:r>
        <w:rPr>
          <w:color w:val="auto"/>
          <w:sz w:val="24"/>
        </w:rPr>
        <w:t>8</w:t>
      </w:r>
      <w:r>
        <w:rPr>
          <w:rFonts w:hint="eastAsia"/>
          <w:color w:val="auto"/>
          <w:sz w:val="24"/>
        </w:rPr>
        <w:t>）投标产品宣传彩页、合格文件、技术资料及材料最新检测报告等</w:t>
      </w:r>
    </w:p>
    <w:p>
      <w:pPr>
        <w:spacing w:line="360" w:lineRule="auto"/>
        <w:ind w:firstLine="480" w:firstLineChars="200"/>
        <w:rPr>
          <w:b/>
          <w:color w:val="auto"/>
          <w:sz w:val="24"/>
        </w:rPr>
      </w:pPr>
      <w:r>
        <w:rPr>
          <w:rFonts w:hint="eastAsia"/>
          <w:color w:val="auto"/>
          <w:sz w:val="24"/>
        </w:rPr>
        <w:t>（</w:t>
      </w:r>
      <w:r>
        <w:rPr>
          <w:color w:val="auto"/>
          <w:sz w:val="24"/>
        </w:rPr>
        <w:t>9</w:t>
      </w:r>
      <w:r>
        <w:rPr>
          <w:rFonts w:hint="eastAsia"/>
          <w:color w:val="auto"/>
          <w:sz w:val="24"/>
        </w:rPr>
        <w:t>）投标人认为需要陈述的其他内容</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资格证明文件：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）营业执照复印件（复印件加盖单位公章）</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）法定代表人资格证明（格式见附件</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）法定代表人授权书（格式见附件</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）被授权代表202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月以来任意一个月在所在投标单位依法缴纳社会保障金的相关证明材料（税务、银行或社会保险基金管理部门出具）</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）投标人202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月以来任意一个月依法缴纳税收的相关证明材料；</w:t>
      </w:r>
    </w:p>
    <w:p>
      <w:pPr>
        <w:spacing w:line="360" w:lineRule="auto"/>
        <w:ind w:firstLine="480" w:firstLineChars="20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w:t>
      </w:r>
      <w:r>
        <w:rPr>
          <w:rFonts w:cs="宋体"/>
          <w:color w:val="000000" w:themeColor="text1"/>
          <w:sz w:val="24"/>
          <w14:textFill>
            <w14:solidFill>
              <w14:schemeClr w14:val="tx1"/>
            </w14:solidFill>
          </w14:textFill>
        </w:rPr>
        <w:t>6</w:t>
      </w:r>
      <w:r>
        <w:rPr>
          <w:rFonts w:hint="eastAsia" w:cs="宋体"/>
          <w:color w:val="000000" w:themeColor="text1"/>
          <w:sz w:val="24"/>
          <w14:textFill>
            <w14:solidFill>
              <w14:schemeClr w14:val="tx1"/>
            </w14:solidFill>
          </w14:textFill>
        </w:rPr>
        <w:t>）</w:t>
      </w:r>
      <w:r>
        <w:rPr>
          <w:rFonts w:cs="宋体"/>
          <w:color w:val="000000" w:themeColor="text1"/>
          <w:sz w:val="24"/>
          <w14:textFill>
            <w14:solidFill>
              <w14:schemeClr w14:val="tx1"/>
            </w14:solidFill>
          </w14:textFill>
        </w:rPr>
        <w:t>无重大违法记录声明（见附件</w:t>
      </w:r>
      <w:r>
        <w:rPr>
          <w:rFonts w:hint="eastAsia" w:cs="宋体"/>
          <w:color w:val="000000" w:themeColor="text1"/>
          <w:sz w:val="24"/>
          <w14:textFill>
            <w14:solidFill>
              <w14:schemeClr w14:val="tx1"/>
            </w14:solidFill>
          </w14:textFill>
        </w:rPr>
        <w:t>8</w:t>
      </w:r>
      <w:r>
        <w:rPr>
          <w:rFonts w:cs="宋体"/>
          <w:color w:val="000000" w:themeColor="text1"/>
          <w:sz w:val="24"/>
          <w14:textFill>
            <w14:solidFill>
              <w14:schemeClr w14:val="tx1"/>
            </w14:solidFill>
          </w14:textFill>
        </w:rPr>
        <w:t>）</w:t>
      </w:r>
    </w:p>
    <w:p>
      <w:pPr>
        <w:spacing w:line="360" w:lineRule="auto"/>
        <w:ind w:firstLine="480" w:firstLineChars="20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w:t>
      </w:r>
      <w:r>
        <w:rPr>
          <w:rFonts w:cs="宋体"/>
          <w:color w:val="000000" w:themeColor="text1"/>
          <w:sz w:val="24"/>
          <w14:textFill>
            <w14:solidFill>
              <w14:schemeClr w14:val="tx1"/>
            </w14:solidFill>
          </w14:textFill>
        </w:rPr>
        <w:t>7</w:t>
      </w:r>
      <w:r>
        <w:rPr>
          <w:rFonts w:hint="eastAsia" w:cs="宋体"/>
          <w:color w:val="000000" w:themeColor="text1"/>
          <w:sz w:val="24"/>
          <w14:textFill>
            <w14:solidFill>
              <w14:schemeClr w14:val="tx1"/>
            </w14:solidFill>
          </w14:textFill>
        </w:rPr>
        <w:t>）诚信承诺书（见附件9）</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以上资格证明文件的复印件均需加盖投标人公章，原件备查。</w:t>
      </w:r>
    </w:p>
    <w:p>
      <w:pPr>
        <w:spacing w:line="360" w:lineRule="auto"/>
        <w:ind w:firstLine="590" w:firstLineChars="245"/>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2.3. </w:t>
      </w:r>
      <w:r>
        <w:rPr>
          <w:rFonts w:hint="eastAsia"/>
          <w:color w:val="000000" w:themeColor="text1"/>
          <w:sz w:val="24"/>
          <w14:textFill>
            <w14:solidFill>
              <w14:schemeClr w14:val="tx1"/>
            </w14:solidFill>
          </w14:textFill>
        </w:rPr>
        <w:t>投标文件的形式及签署</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）投标人需提交商务文件（报价）正、副本各</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份，资格证明文件正本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份；技术文件正本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份。</w:t>
      </w:r>
      <w:r>
        <w:rPr>
          <w:rFonts w:hint="eastAsia"/>
          <w:b/>
          <w:color w:val="000000" w:themeColor="text1"/>
          <w:sz w:val="24"/>
          <w14:textFill>
            <w14:solidFill>
              <w14:schemeClr w14:val="tx1"/>
            </w14:solidFill>
          </w14:textFill>
        </w:rPr>
        <w:t>投标文件的封面上</w:t>
      </w:r>
      <w:r>
        <w:rPr>
          <w:rFonts w:hint="eastAsia"/>
          <w:color w:val="000000" w:themeColor="text1"/>
          <w:sz w:val="24"/>
          <w14:textFill>
            <w14:solidFill>
              <w14:schemeClr w14:val="tx1"/>
            </w14:solidFill>
          </w14:textFill>
        </w:rPr>
        <w:t>明确标明商务文件（报价）、资格证明文件和技术文件以及正本和副本。如投标文件正本与副本有不同之处，以正本为准。</w:t>
      </w:r>
    </w:p>
    <w:p>
      <w:pPr>
        <w:spacing w:line="360" w:lineRule="auto"/>
        <w:ind w:firstLine="482" w:firstLineChars="200"/>
        <w:rPr>
          <w:rFonts w:ascii="黑体" w:hAnsi="黑体" w:eastAsia="黑体"/>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w:t>
      </w:r>
      <w:r>
        <w:rPr>
          <w:rFonts w:hint="eastAsia" w:ascii="黑体" w:hAnsi="黑体" w:eastAsia="黑体"/>
          <w:b/>
          <w:color w:val="000000" w:themeColor="text1"/>
          <w:sz w:val="24"/>
          <w14:textFill>
            <w14:solidFill>
              <w14:schemeClr w14:val="tx1"/>
            </w14:solidFill>
          </w14:textFill>
        </w:rPr>
        <w:t>商务文件（报价）、资格证明文件和技术文件须分开独立包装，即：分别装在三个纸袋里，</w:t>
      </w:r>
      <w:r>
        <w:rPr>
          <w:rFonts w:ascii="黑体" w:hAnsi="黑体" w:eastAsia="黑体"/>
          <w:b/>
          <w:color w:val="000000" w:themeColor="text1"/>
          <w:sz w:val="24"/>
          <w14:textFill>
            <w14:solidFill>
              <w14:schemeClr w14:val="tx1"/>
            </w14:solidFill>
          </w14:textFill>
        </w:rPr>
        <w:t>并在</w:t>
      </w:r>
      <w:r>
        <w:rPr>
          <w:rFonts w:hint="eastAsia" w:ascii="黑体" w:hAnsi="黑体" w:eastAsia="黑体"/>
          <w:b/>
          <w:color w:val="000000" w:themeColor="text1"/>
          <w:sz w:val="24"/>
          <w14:textFill>
            <w14:solidFill>
              <w14:schemeClr w14:val="tx1"/>
            </w14:solidFill>
          </w14:textFill>
        </w:rPr>
        <w:t>袋子</w:t>
      </w:r>
      <w:r>
        <w:rPr>
          <w:rFonts w:ascii="黑体" w:hAnsi="黑体" w:eastAsia="黑体"/>
          <w:b/>
          <w:color w:val="000000" w:themeColor="text1"/>
          <w:sz w:val="24"/>
          <w14:textFill>
            <w14:solidFill>
              <w14:schemeClr w14:val="tx1"/>
            </w14:solidFill>
          </w14:textFill>
        </w:rPr>
        <w:t>封面分别注明</w:t>
      </w:r>
      <w:r>
        <w:rPr>
          <w:rFonts w:hint="eastAsia" w:ascii="黑体" w:hAnsi="黑体" w:eastAsia="黑体"/>
          <w:b/>
          <w:color w:val="000000" w:themeColor="text1"/>
          <w:sz w:val="24"/>
          <w14:textFill>
            <w14:solidFill>
              <w14:schemeClr w14:val="tx1"/>
            </w14:solidFill>
          </w14:textFill>
        </w:rPr>
        <w:t>商务文件、资格证明文件和技术文件。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）投标文件正本与副本均应使用</w:t>
      </w:r>
      <w:r>
        <w:rPr>
          <w:color w:val="000000" w:themeColor="text1"/>
          <w:sz w:val="24"/>
          <w14:textFill>
            <w14:solidFill>
              <w14:schemeClr w14:val="tx1"/>
            </w14:solidFill>
          </w14:textFill>
        </w:rPr>
        <w:t>A4</w:t>
      </w:r>
      <w:r>
        <w:rPr>
          <w:rFonts w:hint="eastAsia"/>
          <w:color w:val="000000" w:themeColor="text1"/>
          <w:sz w:val="24"/>
          <w14:textFill>
            <w14:solidFill>
              <w14:schemeClr w14:val="tx1"/>
            </w14:solidFill>
          </w14:textFill>
        </w:rPr>
        <w:t>型纸打印并</w:t>
      </w:r>
      <w:r>
        <w:rPr>
          <w:rFonts w:hint="eastAsia" w:ascii="黑体" w:hAnsi="黑体" w:eastAsia="黑体"/>
          <w:b/>
          <w:color w:val="000000" w:themeColor="text1"/>
          <w:sz w:val="24"/>
          <w14:textFill>
            <w14:solidFill>
              <w14:schemeClr w14:val="tx1"/>
            </w14:solidFill>
          </w14:textFill>
        </w:rPr>
        <w:t>装订，不得</w:t>
      </w:r>
      <w:r>
        <w:rPr>
          <w:rFonts w:ascii="黑体" w:hAnsi="黑体" w:eastAsia="黑体"/>
          <w:b/>
          <w:color w:val="000000" w:themeColor="text1"/>
          <w:sz w:val="24"/>
          <w14:textFill>
            <w14:solidFill>
              <w14:schemeClr w14:val="tx1"/>
            </w14:solidFill>
          </w14:textFill>
        </w:rPr>
        <w:t>使用活页夹</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）投标文件不应有涂改、增删之处，但如有错误必须修改时，修改处必须由原授权代表签署。</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2.4. </w:t>
      </w:r>
      <w:r>
        <w:rPr>
          <w:rFonts w:hint="eastAsia"/>
          <w:color w:val="000000" w:themeColor="text1"/>
          <w:sz w:val="24"/>
          <w14:textFill>
            <w14:solidFill>
              <w14:schemeClr w14:val="tx1"/>
            </w14:solidFill>
          </w14:textFill>
        </w:rPr>
        <w:t>投标文件的密封和标记</w:t>
      </w:r>
    </w:p>
    <w:p>
      <w:pPr>
        <w:spacing w:line="36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投标人应将投标文件用封套加以密封，在封口处粘贴密封条，盖骑缝公章，并在封套上标明：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）收件人：南通大学启东校区建设指挥部</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）招标项目编号：</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）招标项目名称：</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）投标人名称：</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）联系电话（手机）：</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）开标之前不得启封</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没有按上述规定密封和标记的投标文件，招标人将不承担投标文件错放或提前开启的责任。</w:t>
      </w:r>
    </w:p>
    <w:p>
      <w:pPr>
        <w:pStyle w:val="3"/>
        <w:rPr>
          <w:color w:val="000000" w:themeColor="text1"/>
          <w14:textFill>
            <w14:solidFill>
              <w14:schemeClr w14:val="tx1"/>
            </w14:solidFill>
          </w14:textFill>
        </w:rPr>
      </w:pPr>
      <w:bookmarkStart w:id="4" w:name="_Toc71711250"/>
      <w:r>
        <w:rPr>
          <w:rFonts w:hint="eastAsia"/>
          <w:color w:val="000000" w:themeColor="text1"/>
          <w14:textFill>
            <w14:solidFill>
              <w14:schemeClr w14:val="tx1"/>
            </w14:solidFill>
          </w14:textFill>
        </w:rPr>
        <w:t>三、投标细则</w:t>
      </w:r>
      <w:bookmarkEnd w:id="4"/>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3.1. </w:t>
      </w:r>
      <w:r>
        <w:rPr>
          <w:rFonts w:hint="eastAsia"/>
          <w:color w:val="000000" w:themeColor="text1"/>
          <w:sz w:val="24"/>
          <w14:textFill>
            <w14:solidFill>
              <w14:schemeClr w14:val="tx1"/>
            </w14:solidFill>
          </w14:textFill>
        </w:rPr>
        <w:t>投标货物</w:t>
      </w:r>
    </w:p>
    <w:p>
      <w:pPr>
        <w:spacing w:line="360" w:lineRule="auto"/>
        <w:ind w:firstLine="470" w:firstLineChars="196"/>
        <w:rPr>
          <w:color w:val="000000" w:themeColor="text1"/>
          <w:sz w:val="24"/>
          <w14:textFill>
            <w14:solidFill>
              <w14:schemeClr w14:val="tx1"/>
            </w14:solidFill>
          </w14:textFill>
        </w:rPr>
      </w:pPr>
      <w:r>
        <w:rPr>
          <w:rFonts w:hint="eastAsia" w:ascii="宋体"/>
          <w:color w:val="000000" w:themeColor="text1"/>
          <w:sz w:val="24"/>
          <w:lang w:val="zh-CN"/>
          <w14:textFill>
            <w14:solidFill>
              <w14:schemeClr w14:val="tx1"/>
            </w14:solidFill>
          </w14:textFill>
        </w:rPr>
        <w:t>投标货物必须是全新、未使用过的原装合格正品，不低于招标文件规定的规格、性能和质量的要求，达到国家或行业规定的标准，属于国家强制认证的产品的必须通过认证。</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3.2. </w:t>
      </w:r>
      <w:r>
        <w:rPr>
          <w:rFonts w:hint="eastAsia"/>
          <w:color w:val="000000" w:themeColor="text1"/>
          <w:sz w:val="24"/>
          <w14:textFill>
            <w14:solidFill>
              <w14:schemeClr w14:val="tx1"/>
            </w14:solidFill>
          </w14:textFill>
        </w:rPr>
        <w:t>投标报价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投标总价应是货物完税后的用户地交货价，其中应包含运输、搬运、安装调试、保修等全部费用，以人民币报价。</w:t>
      </w:r>
    </w:p>
    <w:p>
      <w:pPr>
        <w:widowControl/>
        <w:spacing w:line="440" w:lineRule="exact"/>
        <w:ind w:firstLine="420"/>
        <w:rPr>
          <w:color w:val="000000" w:themeColor="text1"/>
          <w:sz w:val="24"/>
          <w14:textFill>
            <w14:solidFill>
              <w14:schemeClr w14:val="tx1"/>
            </w14:solidFill>
          </w14:textFill>
        </w:rPr>
      </w:pPr>
      <w:bookmarkStart w:id="5" w:name="OLE_LINK50"/>
      <w:bookmarkStart w:id="6" w:name="OLE_LINK49"/>
      <w:r>
        <w:rPr>
          <w:rFonts w:hint="eastAsia"/>
          <w:color w:val="000000" w:themeColor="text1"/>
          <w:sz w:val="24"/>
          <w14:textFill>
            <w14:solidFill>
              <w14:schemeClr w14:val="tx1"/>
            </w14:solidFill>
          </w14:textFill>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招标人不接受投标人的任何低于成本报价的不正当竞争方式。</w:t>
      </w:r>
      <w:bookmarkStart w:id="7" w:name="OLE_LINK36"/>
      <w:bookmarkStart w:id="8" w:name="OLE_LINK35"/>
      <w:r>
        <w:rPr>
          <w:rFonts w:hint="eastAsia"/>
          <w:color w:val="000000" w:themeColor="text1"/>
          <w:sz w:val="24"/>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7"/>
      <w:bookmarkEnd w:id="8"/>
      <w:r>
        <w:rPr>
          <w:rFonts w:hint="eastAsia"/>
          <w:color w:val="000000" w:themeColor="text1"/>
          <w:sz w:val="24"/>
          <w14:textFill>
            <w14:solidFill>
              <w14:schemeClr w14:val="tx1"/>
            </w14:solidFill>
          </w14:textFill>
        </w:rPr>
        <w:t>。</w:t>
      </w:r>
      <w:bookmarkEnd w:id="5"/>
      <w:bookmarkEnd w:id="6"/>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3.3. </w:t>
      </w:r>
      <w:r>
        <w:rPr>
          <w:rFonts w:hint="eastAsia"/>
          <w:color w:val="000000" w:themeColor="text1"/>
          <w:sz w:val="24"/>
          <w14:textFill>
            <w14:solidFill>
              <w14:schemeClr w14:val="tx1"/>
            </w14:solidFill>
          </w14:textFill>
        </w:rPr>
        <w:t>投标文件的递交</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）投标人应仔细阅读招标文件的所有内容并做出实质性的响应，同时按招标文件规定的要求和格式，提交完整的投标文件。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）投标文件应在投标截止时间前送达指定地点，</w:t>
      </w:r>
      <w:r>
        <w:rPr>
          <w:rFonts w:hint="eastAsia" w:ascii="黑体" w:eastAsia="黑体"/>
          <w:b/>
          <w:color w:val="000000" w:themeColor="text1"/>
          <w:sz w:val="24"/>
          <w14:textFill>
            <w14:solidFill>
              <w14:schemeClr w14:val="tx1"/>
            </w14:solidFill>
          </w14:textFill>
        </w:rPr>
        <w:t>逾期送达或未送达指定地点以及未按招标文件要求密封的投标文件，投标人须自行承担相应风险。</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）招标人不接受电报、电话、传真及电子邮件投标。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3.4.</w:t>
      </w:r>
      <w:r>
        <w:rPr>
          <w:rFonts w:hint="eastAsia"/>
          <w:color w:val="000000" w:themeColor="text1"/>
          <w:sz w:val="24"/>
          <w14:textFill>
            <w14:solidFill>
              <w14:schemeClr w14:val="tx1"/>
            </w14:solidFill>
          </w14:textFill>
        </w:rPr>
        <w:t>投标文件的修改和撤回</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）投标截止时间后投标文件不得修改。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）投标截止时间前投标人可以撤标，但在投标截止时间后不允许撤标。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3.5. </w:t>
      </w:r>
      <w:r>
        <w:rPr>
          <w:rFonts w:hint="eastAsia"/>
          <w:color w:val="000000" w:themeColor="text1"/>
          <w:sz w:val="24"/>
          <w14:textFill>
            <w14:solidFill>
              <w14:schemeClr w14:val="tx1"/>
            </w14:solidFill>
          </w14:textFill>
        </w:rPr>
        <w:t>分包投标</w:t>
      </w:r>
    </w:p>
    <w:p>
      <w:pPr>
        <w:spacing w:line="360" w:lineRule="auto"/>
        <w:ind w:firstLine="482" w:firstLineChars="200"/>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本次招标不可分包投标和中标。</w:t>
      </w:r>
    </w:p>
    <w:p>
      <w:pPr>
        <w:spacing w:line="360" w:lineRule="auto"/>
        <w:ind w:firstLine="482" w:firstLineChars="200"/>
        <w:rPr>
          <w:rFonts w:asci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3.6. </w:t>
      </w:r>
      <w:r>
        <w:rPr>
          <w:rFonts w:hint="eastAsia" w:ascii="宋体" w:hAnsi="宋体"/>
          <w:color w:val="000000" w:themeColor="text1"/>
          <w:sz w:val="24"/>
          <w14:textFill>
            <w14:solidFill>
              <w14:schemeClr w14:val="tx1"/>
            </w14:solidFill>
          </w14:textFill>
        </w:rPr>
        <w:t>联合体投标</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本次招标不接受联合体投标。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3.7. </w:t>
      </w:r>
      <w:r>
        <w:rPr>
          <w:rFonts w:hint="eastAsia"/>
          <w:color w:val="000000" w:themeColor="text1"/>
          <w:sz w:val="24"/>
          <w14:textFill>
            <w14:solidFill>
              <w14:schemeClr w14:val="tx1"/>
            </w14:solidFill>
          </w14:textFill>
        </w:rPr>
        <w:t>投标有效期</w:t>
      </w:r>
    </w:p>
    <w:p>
      <w:pPr>
        <w:spacing w:line="360" w:lineRule="auto"/>
        <w:ind w:firstLine="470" w:firstLineChars="196"/>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从投标截止时间起，投标有效期为</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3.8. </w:t>
      </w:r>
      <w:r>
        <w:rPr>
          <w:rFonts w:hint="eastAsia"/>
          <w:color w:val="000000" w:themeColor="text1"/>
          <w:sz w:val="24"/>
          <w14:textFill>
            <w14:solidFill>
              <w14:schemeClr w14:val="tx1"/>
            </w14:solidFill>
          </w14:textFill>
        </w:rPr>
        <w:t>招标终止</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投标截止后，如投标人少于</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个，招标人有权选择其他采购方式或终止本次招标。</w:t>
      </w:r>
    </w:p>
    <w:p>
      <w:pPr>
        <w:pStyle w:val="3"/>
        <w:rPr>
          <w:color w:val="000000" w:themeColor="text1"/>
          <w14:textFill>
            <w14:solidFill>
              <w14:schemeClr w14:val="tx1"/>
            </w14:solidFill>
          </w14:textFill>
        </w:rPr>
      </w:pPr>
      <w:bookmarkStart w:id="9" w:name="_Toc71711251"/>
      <w:r>
        <w:rPr>
          <w:rFonts w:hint="eastAsia"/>
          <w:color w:val="000000" w:themeColor="text1"/>
          <w14:textFill>
            <w14:solidFill>
              <w14:schemeClr w14:val="tx1"/>
            </w14:solidFill>
          </w14:textFill>
        </w:rPr>
        <w:t>四、评标</w:t>
      </w:r>
      <w:bookmarkEnd w:id="9"/>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4.1. </w:t>
      </w:r>
      <w:r>
        <w:rPr>
          <w:rFonts w:hint="eastAsia"/>
          <w:color w:val="000000" w:themeColor="text1"/>
          <w:sz w:val="24"/>
          <w14:textFill>
            <w14:solidFill>
              <w14:schemeClr w14:val="tx1"/>
            </w14:solidFill>
          </w14:textFill>
        </w:rPr>
        <w:t>招标人按规定的时间和地点进行开评标，投标人可派代表（持授权代表身份证明）参加。</w:t>
      </w:r>
      <w:r>
        <w:rPr>
          <w:rFonts w:hint="eastAsia" w:ascii="黑体" w:eastAsia="黑体"/>
          <w:b/>
          <w:color w:val="000000" w:themeColor="text1"/>
          <w:sz w:val="24"/>
          <w14:textFill>
            <w14:solidFill>
              <w14:schemeClr w14:val="tx1"/>
            </w14:solidFill>
          </w14:textFill>
        </w:rPr>
        <w:t>投标人未派代表参加开标的，视为默认接受开标结果。</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采购人组织用户代表和</w:t>
      </w:r>
      <w:r>
        <w:rPr>
          <w:rFonts w:hint="eastAsia" w:ascii="宋体"/>
          <w:color w:val="000000" w:themeColor="text1"/>
          <w:sz w:val="24"/>
          <w:lang w:val="zh-CN"/>
          <w14:textFill>
            <w14:solidFill>
              <w14:schemeClr w14:val="tx1"/>
            </w14:solidFill>
          </w14:textFill>
        </w:rPr>
        <w:t>有关技术</w:t>
      </w:r>
      <w:r>
        <w:rPr>
          <w:rFonts w:hint="eastAsia"/>
          <w:color w:val="000000" w:themeColor="text1"/>
          <w:sz w:val="24"/>
          <w14:textFill>
            <w14:solidFill>
              <w14:schemeClr w14:val="tx1"/>
            </w14:solidFill>
          </w14:textFill>
        </w:rPr>
        <w:t>专家组成评标小组进行评标。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在详细评标之前，采购人和评委要对投标人的</w:t>
      </w:r>
      <w:r>
        <w:rPr>
          <w:rFonts w:hint="eastAsia" w:ascii="宋体" w:hAnsi="宋体"/>
          <w:color w:val="000000" w:themeColor="text1"/>
          <w:sz w:val="24"/>
          <w14:textFill>
            <w14:solidFill>
              <w14:schemeClr w14:val="tx1"/>
            </w14:solidFill>
          </w14:textFill>
        </w:rPr>
        <w:t>投标资格以</w:t>
      </w:r>
      <w:r>
        <w:rPr>
          <w:rFonts w:hint="eastAsia"/>
          <w:color w:val="000000" w:themeColor="text1"/>
          <w:sz w:val="24"/>
          <w14:textFill>
            <w14:solidFill>
              <w14:schemeClr w14:val="tx1"/>
            </w14:solidFill>
          </w14:textFill>
        </w:rPr>
        <w:t>及投标是否对招标文件的实质性要求和条件做出响应进行审查。</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对招标文件的实质性要求和条件做出响应的投标应该是与招标文件要求的全部条款、条件、指标和规格相符，没有重大偏离的投标。采购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4.5. </w:t>
      </w:r>
      <w:r>
        <w:rPr>
          <w:rFonts w:hint="eastAsia"/>
          <w:color w:val="000000" w:themeColor="text1"/>
          <w:sz w:val="24"/>
          <w14:textFill>
            <w14:solidFill>
              <w14:schemeClr w14:val="tx1"/>
            </w14:solidFill>
          </w14:textFill>
        </w:rPr>
        <w:t>投标文件出现（但不限于）下列情况之一的，由评标小组评审后作无效投标或废标处理：</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）超出经营范围投标的；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不具备招标文件规定的资格条件及未按招标文件规定的要求提供资格证明文件的；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）无法定代表人签字或签字人无法定代表人有效授权的；应加盖投标人公章而未盖章的；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）投标有效期不足的；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）投标报价不合理，明显低于成本的；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）重要技术指标和参数不满足招标要求的；</w:t>
      </w:r>
    </w:p>
    <w:p>
      <w:pPr>
        <w:tabs>
          <w:tab w:val="left" w:pos="525"/>
          <w:tab w:val="left" w:pos="1050"/>
        </w:tabs>
        <w:spacing w:line="353" w:lineRule="auto"/>
        <w:ind w:left="1" w:firstLine="480" w:firstLineChars="200"/>
        <w:rPr>
          <w:rFonts w:ascii="宋体"/>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重要内容或关键字迹模糊不清无法辨认的；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）未对招标文件实质性要求和条件做出响应的；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）故意哄抬价格或压价等其它恶意串通投标的；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）有损害招标人和用户利益的规定的；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）不同投标人的投标文件由同一单位或者个人编制；</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）不同投标人委托同一单位或者个人办理投标事宜；</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）不同投标人的投标文件载明的项目管理成员或者联系人员为同一人；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）不同投标人的投标文件异常一致或者投标报价呈规律性差异；</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）不同投标人的投标文件相互混装。</w:t>
      </w:r>
    </w:p>
    <w:p>
      <w:pPr>
        <w:spacing w:line="353"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4.6. </w:t>
      </w:r>
      <w:r>
        <w:rPr>
          <w:rFonts w:hint="eastAsia"/>
          <w:color w:val="000000" w:themeColor="text1"/>
          <w:sz w:val="24"/>
          <w14:textFill>
            <w14:solidFill>
              <w14:schemeClr w14:val="tx1"/>
            </w14:solidFill>
          </w14:textFill>
        </w:rPr>
        <w:t>评标小组认为有必要时，将要求投标人述标或对投标文件中某些内容做出澄清或说明，但不接受投标人主动提出的澄清和说明。</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4.7. </w:t>
      </w:r>
      <w:r>
        <w:rPr>
          <w:rFonts w:hint="eastAsia"/>
          <w:color w:val="000000" w:themeColor="text1"/>
          <w:sz w:val="24"/>
          <w14:textFill>
            <w14:solidFill>
              <w14:schemeClr w14:val="tx1"/>
            </w14:solidFill>
          </w14:textFill>
        </w:rPr>
        <w:t>评标小组将从投标人的投标报价、产品质量、技术方案、售后服务、企业状况等经济、技术和商务及其他优惠条件等方面，依据评标方法，对所有投标文件进行综合评审。</w:t>
      </w:r>
    </w:p>
    <w:p>
      <w:pPr>
        <w:pStyle w:val="3"/>
        <w:rPr>
          <w:color w:val="000000" w:themeColor="text1"/>
          <w14:textFill>
            <w14:solidFill>
              <w14:schemeClr w14:val="tx1"/>
            </w14:solidFill>
          </w14:textFill>
        </w:rPr>
      </w:pPr>
      <w:bookmarkStart w:id="10" w:name="_Toc71711252"/>
      <w:r>
        <w:rPr>
          <w:rFonts w:hint="eastAsia"/>
          <w:color w:val="000000" w:themeColor="text1"/>
          <w14:textFill>
            <w14:solidFill>
              <w14:schemeClr w14:val="tx1"/>
            </w14:solidFill>
          </w14:textFill>
        </w:rPr>
        <w:t>五、评标方法及评分标准</w:t>
      </w:r>
      <w:bookmarkEnd w:id="10"/>
    </w:p>
    <w:p>
      <w:pPr>
        <w:spacing w:line="353" w:lineRule="auto"/>
        <w:ind w:firstLine="472" w:firstLineChars="196"/>
        <w:rPr>
          <w:color w:val="000000" w:themeColor="text1"/>
          <w:sz w:val="24"/>
          <w14:textFill>
            <w14:solidFill>
              <w14:schemeClr w14:val="tx1"/>
            </w14:solidFill>
          </w14:textFill>
        </w:rPr>
      </w:pPr>
      <w:r>
        <w:rPr>
          <w:b/>
          <w:color w:val="000000" w:themeColor="text1"/>
          <w:sz w:val="24"/>
          <w14:textFill>
            <w14:solidFill>
              <w14:schemeClr w14:val="tx1"/>
            </w14:solidFill>
          </w14:textFill>
        </w:rPr>
        <w:t>5.1.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评标方法</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（1）公开招标程序：资格符合性评审→技术标评审→商务标开标→确定中标候选人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（2）本次招标采用</w:t>
      </w:r>
      <w:r>
        <w:rPr>
          <w:rFonts w:hint="eastAsia"/>
          <w:b/>
          <w:color w:val="000000" w:themeColor="text1"/>
          <w:sz w:val="24"/>
          <w14:textFill>
            <w14:solidFill>
              <w14:schemeClr w14:val="tx1"/>
            </w14:solidFill>
          </w14:textFill>
        </w:rPr>
        <w:t>综合评分法</w:t>
      </w:r>
      <w:r>
        <w:rPr>
          <w:rFonts w:hint="eastAsia"/>
          <w:color w:val="000000" w:themeColor="text1"/>
          <w:sz w:val="24"/>
          <w14:textFill>
            <w14:solidFill>
              <w14:schemeClr w14:val="tx1"/>
            </w14:solidFill>
          </w14:textFill>
        </w:rPr>
        <w:t>评标，即在投标文件满足招标文件全部实质性要求，且按照评审因素的量化指标评审得分最高的投标人为排名第一的中标候选人。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（3）评标小组各成员独立对每一份有效投标文件进行评价并对除报价以外的评分项目进行评分，报价得分由工作人员通过计算得出。</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投标人得分</w:t>
      </w:r>
      <w:r>
        <w:rPr>
          <w:b/>
          <w:color w:val="000000" w:themeColor="text1"/>
          <w:sz w:val="24"/>
          <w14:textFill>
            <w14:solidFill>
              <w14:schemeClr w14:val="tx1"/>
            </w14:solidFill>
          </w14:textFill>
        </w:rPr>
        <w:t xml:space="preserve"> = </w:t>
      </w:r>
      <w:r>
        <w:rPr>
          <w:rFonts w:hint="eastAsia"/>
          <w:b/>
          <w:color w:val="000000" w:themeColor="text1"/>
          <w:sz w:val="24"/>
          <w14:textFill>
            <w14:solidFill>
              <w14:schemeClr w14:val="tx1"/>
            </w14:solidFill>
          </w14:textFill>
        </w:rPr>
        <w:t>∑评委评价得分</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评委人数</w:t>
      </w:r>
      <w:r>
        <w:rPr>
          <w:b/>
          <w:color w:val="000000" w:themeColor="text1"/>
          <w:sz w:val="24"/>
          <w14:textFill>
            <w14:solidFill>
              <w14:schemeClr w14:val="tx1"/>
            </w14:solidFill>
          </w14:textFill>
        </w:rPr>
        <w:t xml:space="preserve"> + </w:t>
      </w:r>
      <w:r>
        <w:rPr>
          <w:rFonts w:hint="eastAsia"/>
          <w:b/>
          <w:color w:val="000000" w:themeColor="text1"/>
          <w:sz w:val="24"/>
          <w14:textFill>
            <w14:solidFill>
              <w14:schemeClr w14:val="tx1"/>
            </w14:solidFill>
          </w14:textFill>
        </w:rPr>
        <w:t>报价得分。</w:t>
      </w:r>
    </w:p>
    <w:p>
      <w:pPr>
        <w:widowControl/>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br w:type="page"/>
      </w:r>
    </w:p>
    <w:p>
      <w:pPr>
        <w:spacing w:line="360" w:lineRule="auto"/>
        <w:ind w:firstLine="482" w:firstLineChars="200"/>
        <w:rPr>
          <w:rFonts w:ascii="宋体"/>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5.2. </w:t>
      </w:r>
      <w:r>
        <w:rPr>
          <w:rFonts w:hint="eastAsia" w:ascii="宋体" w:hAnsi="宋体"/>
          <w:bCs/>
          <w:color w:val="000000" w:themeColor="text1"/>
          <w:sz w:val="24"/>
          <w14:textFill>
            <w14:solidFill>
              <w14:schemeClr w14:val="tx1"/>
            </w14:solidFill>
          </w14:textFill>
        </w:rPr>
        <w:t>评分标准</w:t>
      </w:r>
    </w:p>
    <w:p>
      <w:pPr>
        <w:ind w:firstLine="422" w:firstLineChars="200"/>
        <w:rPr>
          <w:rFonts w:ascii="宋体" w:hAnsi="宋体"/>
          <w:b/>
          <w:szCs w:val="21"/>
        </w:rPr>
      </w:pPr>
    </w:p>
    <w:tbl>
      <w:tblPr>
        <w:tblStyle w:val="28"/>
        <w:tblpPr w:leftFromText="180" w:rightFromText="180" w:vertAnchor="text" w:horzAnchor="page" w:tblpX="1440" w:tblpY="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924"/>
        <w:gridCol w:w="144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240" w:type="dxa"/>
            <w:tcBorders>
              <w:top w:val="single" w:color="auto" w:sz="4" w:space="0"/>
              <w:left w:val="single" w:color="auto" w:sz="4" w:space="0"/>
              <w:bottom w:val="single" w:color="auto" w:sz="4" w:space="0"/>
              <w:right w:val="single" w:color="auto" w:sz="4" w:space="0"/>
            </w:tcBorders>
            <w:vAlign w:val="center"/>
          </w:tcPr>
          <w:p>
            <w:pPr>
              <w:jc w:val="center"/>
              <w:rPr>
                <w:b/>
                <w:color w:val="000000"/>
              </w:rPr>
            </w:pPr>
            <w:r>
              <w:rPr>
                <w:rFonts w:hint="eastAsia"/>
                <w:b/>
                <w:color w:val="000000"/>
              </w:rPr>
              <w:t>评审因素</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b/>
                <w:color w:val="000000"/>
              </w:rPr>
            </w:pPr>
            <w:r>
              <w:rPr>
                <w:rFonts w:hint="eastAsia"/>
                <w:b/>
                <w:color w:val="000000"/>
              </w:rPr>
              <w:t>分值</w:t>
            </w:r>
          </w:p>
        </w:tc>
        <w:tc>
          <w:tcPr>
            <w:tcW w:w="6549" w:type="dxa"/>
            <w:gridSpan w:val="2"/>
            <w:tcBorders>
              <w:top w:val="single" w:color="auto" w:sz="4" w:space="0"/>
              <w:left w:val="single" w:color="auto" w:sz="4" w:space="0"/>
              <w:bottom w:val="single" w:color="auto" w:sz="4" w:space="0"/>
              <w:right w:val="single" w:color="auto" w:sz="4" w:space="0"/>
            </w:tcBorders>
            <w:vAlign w:val="center"/>
          </w:tcPr>
          <w:p>
            <w:pPr>
              <w:ind w:firstLine="1792" w:firstLineChars="850"/>
              <w:rPr>
                <w:b/>
                <w:color w:val="000000"/>
              </w:rPr>
            </w:pPr>
            <w:r>
              <w:rPr>
                <w:rFonts w:hint="eastAsia"/>
                <w:b/>
                <w:color w:val="000000"/>
              </w:rPr>
              <w:t>评</w:t>
            </w:r>
            <w:r>
              <w:rPr>
                <w:b/>
                <w:color w:val="000000"/>
              </w:rPr>
              <w:t xml:space="preserve">   </w:t>
            </w:r>
            <w:r>
              <w:rPr>
                <w:rFonts w:hint="eastAsia"/>
                <w:b/>
                <w:color w:val="000000"/>
              </w:rPr>
              <w:t>分</w:t>
            </w:r>
            <w:r>
              <w:rPr>
                <w:b/>
                <w:color w:val="000000"/>
              </w:rPr>
              <w:t xml:space="preserve">   </w:t>
            </w:r>
            <w:r>
              <w:rPr>
                <w:rFonts w:hint="eastAsia"/>
                <w:b/>
                <w:color w:val="000000"/>
              </w:rPr>
              <w:t>细</w:t>
            </w:r>
            <w:r>
              <w:rPr>
                <w:b/>
                <w:color w:val="000000"/>
              </w:rPr>
              <w:t xml:space="preserve">   </w:t>
            </w:r>
            <w:r>
              <w:rPr>
                <w:rFonts w:hint="eastAsia"/>
                <w:b/>
                <w:color w:val="000000"/>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投标报价</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45</w:t>
            </w:r>
          </w:p>
        </w:tc>
        <w:tc>
          <w:tcPr>
            <w:tcW w:w="6549" w:type="dxa"/>
            <w:gridSpan w:val="2"/>
            <w:tcBorders>
              <w:top w:val="single" w:color="auto" w:sz="4" w:space="0"/>
              <w:left w:val="single" w:color="auto" w:sz="4" w:space="0"/>
              <w:bottom w:val="single" w:color="auto" w:sz="4" w:space="0"/>
              <w:right w:val="single" w:color="auto" w:sz="4" w:space="0"/>
            </w:tcBorders>
            <w:vAlign w:val="center"/>
          </w:tcPr>
          <w:p>
            <w:pPr>
              <w:ind w:left="-2" w:leftChars="-1" w:firstLine="420" w:firstLineChars="200"/>
              <w:rPr>
                <w:rFonts w:ascii="宋体" w:hAnsi="宋体"/>
                <w:color w:val="auto"/>
              </w:rPr>
            </w:pPr>
            <w:r>
              <w:rPr>
                <w:rFonts w:hint="eastAsia" w:ascii="宋体" w:hAnsi="宋体"/>
                <w:color w:val="auto"/>
              </w:rPr>
              <w:t>满足招标文件要求且投标价格最低的投标报价为评标基准价，其价格分为满分，其他投标人的价格分按下列公式计算：</w:t>
            </w:r>
          </w:p>
          <w:p>
            <w:pPr>
              <w:ind w:left="-2" w:leftChars="-1" w:firstLine="420" w:firstLineChars="200"/>
              <w:rPr>
                <w:color w:val="000000"/>
              </w:rPr>
            </w:pPr>
            <w:r>
              <w:rPr>
                <w:rFonts w:hint="eastAsia" w:ascii="宋体" w:hAnsi="宋体"/>
                <w:color w:val="auto"/>
              </w:rPr>
              <w:t>投标报价得分＝（评标基准价</w:t>
            </w:r>
            <w:r>
              <w:rPr>
                <w:rFonts w:ascii="宋体" w:hAnsi="宋体"/>
                <w:color w:val="auto"/>
              </w:rPr>
              <w:t>/</w:t>
            </w:r>
            <w:r>
              <w:rPr>
                <w:rFonts w:hint="eastAsia" w:ascii="宋体" w:hAnsi="宋体"/>
                <w:color w:val="auto"/>
              </w:rPr>
              <w:t>投标报价）</w:t>
            </w:r>
            <w:r>
              <w:rPr>
                <w:rFonts w:ascii="宋体" w:hAnsi="宋体"/>
                <w:color w:val="auto"/>
              </w:rPr>
              <w:t>×</w:t>
            </w:r>
            <w:r>
              <w:rPr>
                <w:rFonts w:hint="eastAsia" w:ascii="宋体" w:hAnsi="宋体"/>
                <w:color w:val="auto"/>
              </w:rPr>
              <w:t>4</w:t>
            </w:r>
            <w:r>
              <w:rPr>
                <w:rFonts w:ascii="宋体" w:hAnsi="宋体"/>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240" w:type="dxa"/>
            <w:tcBorders>
              <w:top w:val="single" w:color="auto" w:sz="4" w:space="0"/>
              <w:left w:val="single" w:color="auto" w:sz="4" w:space="0"/>
              <w:right w:val="single" w:color="auto" w:sz="4" w:space="0"/>
            </w:tcBorders>
            <w:vAlign w:val="center"/>
          </w:tcPr>
          <w:p>
            <w:pPr>
              <w:jc w:val="center"/>
              <w:rPr>
                <w:color w:val="000000"/>
              </w:rPr>
            </w:pPr>
            <w:r>
              <w:rPr>
                <w:rFonts w:hint="eastAsia"/>
                <w:color w:val="000000"/>
              </w:rPr>
              <w:t>样品分</w:t>
            </w:r>
          </w:p>
        </w:tc>
        <w:tc>
          <w:tcPr>
            <w:tcW w:w="924" w:type="dxa"/>
            <w:tcBorders>
              <w:top w:val="single" w:color="auto" w:sz="4" w:space="0"/>
              <w:left w:val="single" w:color="auto" w:sz="4" w:space="0"/>
              <w:right w:val="single" w:color="auto" w:sz="4" w:space="0"/>
            </w:tcBorders>
            <w:vAlign w:val="center"/>
          </w:tcPr>
          <w:p>
            <w:pPr>
              <w:jc w:val="center"/>
              <w:rPr>
                <w:color w:val="000000"/>
              </w:rPr>
            </w:pPr>
            <w:r>
              <w:rPr>
                <w:color w:val="000000"/>
              </w:rPr>
              <w:t>30</w:t>
            </w:r>
          </w:p>
        </w:tc>
        <w:tc>
          <w:tcPr>
            <w:tcW w:w="6549" w:type="dxa"/>
            <w:gridSpan w:val="2"/>
            <w:tcBorders>
              <w:top w:val="single" w:color="auto" w:sz="4" w:space="0"/>
              <w:left w:val="single" w:color="auto" w:sz="4" w:space="0"/>
              <w:right w:val="single" w:color="auto" w:sz="4" w:space="0"/>
            </w:tcBorders>
            <w:vAlign w:val="center"/>
          </w:tcPr>
          <w:p>
            <w:pPr>
              <w:ind w:firstLine="420" w:firstLineChars="200"/>
              <w:rPr>
                <w:color w:val="000000"/>
                <w:szCs w:val="21"/>
              </w:rPr>
            </w:pPr>
            <w:r>
              <w:rPr>
                <w:rFonts w:hint="eastAsia" w:ascii="宋体" w:hAnsi="宋体"/>
                <w:color w:val="000000"/>
              </w:rPr>
              <w:t>由评委根据投标人所提供的按招标文件规定技术要求，对金刚纱网窗</w:t>
            </w:r>
            <w:r>
              <w:rPr>
                <w:rFonts w:hint="eastAsia"/>
                <w:color w:val="000000"/>
                <w:szCs w:val="21"/>
              </w:rPr>
              <w:t>样品的规格、厚度、质量、防伤害、维护方便、锁具设置等各方面进行评价，评价好得</w:t>
            </w:r>
            <w:r>
              <w:rPr>
                <w:color w:val="000000"/>
                <w:szCs w:val="21"/>
              </w:rPr>
              <w:t>2</w:t>
            </w:r>
            <w:r>
              <w:rPr>
                <w:rFonts w:hint="eastAsia"/>
                <w:color w:val="000000"/>
                <w:szCs w:val="21"/>
                <w:lang w:val="en-US" w:eastAsia="zh-CN"/>
              </w:rPr>
              <w:t>1</w:t>
            </w:r>
            <w:r>
              <w:rPr>
                <w:color w:val="000000"/>
                <w:szCs w:val="21"/>
              </w:rPr>
              <w:t>~30</w:t>
            </w:r>
            <w:r>
              <w:rPr>
                <w:rFonts w:hint="eastAsia"/>
                <w:color w:val="000000"/>
                <w:szCs w:val="21"/>
              </w:rPr>
              <w:t>分；评价较好得</w:t>
            </w:r>
            <w:r>
              <w:rPr>
                <w:rFonts w:hint="eastAsia"/>
                <w:color w:val="000000"/>
                <w:szCs w:val="21"/>
                <w:lang w:val="en-US" w:eastAsia="zh-CN"/>
              </w:rPr>
              <w:t>11</w:t>
            </w:r>
            <w:r>
              <w:rPr>
                <w:color w:val="000000"/>
                <w:szCs w:val="21"/>
              </w:rPr>
              <w:t>~20</w:t>
            </w:r>
            <w:r>
              <w:rPr>
                <w:rFonts w:hint="eastAsia"/>
                <w:color w:val="000000"/>
                <w:szCs w:val="21"/>
              </w:rPr>
              <w:t>分；评价一般得1</w:t>
            </w:r>
            <w:r>
              <w:rPr>
                <w:color w:val="000000"/>
                <w:szCs w:val="21"/>
              </w:rPr>
              <w:t>~10</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240" w:type="dxa"/>
            <w:tcBorders>
              <w:left w:val="single" w:color="auto" w:sz="4" w:space="0"/>
              <w:bottom w:val="single" w:color="auto" w:sz="4" w:space="0"/>
              <w:right w:val="single" w:color="auto" w:sz="4" w:space="0"/>
            </w:tcBorders>
            <w:vAlign w:val="center"/>
          </w:tcPr>
          <w:p>
            <w:pPr>
              <w:jc w:val="center"/>
              <w:rPr>
                <w:color w:val="000000"/>
              </w:rPr>
            </w:pPr>
            <w:r>
              <w:rPr>
                <w:rFonts w:hint="eastAsia"/>
                <w:color w:val="000000"/>
              </w:rPr>
              <w:t>性能及品质</w:t>
            </w:r>
          </w:p>
          <w:p>
            <w:pPr>
              <w:jc w:val="center"/>
              <w:rPr>
                <w:color w:val="000000"/>
              </w:rPr>
            </w:pPr>
          </w:p>
        </w:tc>
        <w:tc>
          <w:tcPr>
            <w:tcW w:w="924" w:type="dxa"/>
            <w:tcBorders>
              <w:left w:val="single" w:color="auto" w:sz="4" w:space="0"/>
              <w:bottom w:val="single" w:color="auto" w:sz="4" w:space="0"/>
              <w:right w:val="single" w:color="auto" w:sz="4" w:space="0"/>
            </w:tcBorders>
            <w:vAlign w:val="center"/>
          </w:tcPr>
          <w:p>
            <w:pPr>
              <w:jc w:val="center"/>
              <w:rPr>
                <w:color w:val="000000"/>
              </w:rPr>
            </w:pPr>
            <w:r>
              <w:rPr>
                <w:color w:val="000000"/>
              </w:rPr>
              <w:t>9</w:t>
            </w:r>
          </w:p>
        </w:tc>
        <w:tc>
          <w:tcPr>
            <w:tcW w:w="6549" w:type="dxa"/>
            <w:gridSpan w:val="2"/>
            <w:tcBorders>
              <w:top w:val="single" w:color="auto" w:sz="4" w:space="0"/>
              <w:left w:val="single" w:color="auto" w:sz="4" w:space="0"/>
              <w:right w:val="single" w:color="auto" w:sz="4" w:space="0"/>
            </w:tcBorders>
            <w:vAlign w:val="center"/>
          </w:tcPr>
          <w:p>
            <w:pPr>
              <w:ind w:firstLine="420" w:firstLineChars="200"/>
              <w:rPr>
                <w:color w:val="000000"/>
                <w:szCs w:val="21"/>
              </w:rPr>
            </w:pPr>
            <w:r>
              <w:rPr>
                <w:rFonts w:hint="eastAsia"/>
                <w:color w:val="000000"/>
                <w:szCs w:val="21"/>
              </w:rPr>
              <w:t>对投标产品的品牌、系列、档次、产地、行业占有率、影响力以及产品的先进性、可靠性、稳定性等方面进行综合评价，评价好得7</w:t>
            </w:r>
            <w:r>
              <w:rPr>
                <w:color w:val="000000"/>
                <w:szCs w:val="21"/>
              </w:rPr>
              <w:t>~</w:t>
            </w:r>
            <w:r>
              <w:rPr>
                <w:rFonts w:hint="eastAsia"/>
                <w:color w:val="000000"/>
                <w:szCs w:val="21"/>
              </w:rPr>
              <w:t>9分；评价较好得4</w:t>
            </w:r>
            <w:r>
              <w:rPr>
                <w:color w:val="000000"/>
                <w:szCs w:val="21"/>
              </w:rPr>
              <w:t>~</w:t>
            </w:r>
            <w:r>
              <w:rPr>
                <w:rFonts w:hint="eastAsia"/>
                <w:color w:val="000000"/>
                <w:szCs w:val="21"/>
              </w:rPr>
              <w:t>6分；评价一般得1</w:t>
            </w:r>
            <w:r>
              <w:rPr>
                <w:color w:val="000000"/>
                <w:szCs w:val="21"/>
              </w:rPr>
              <w:t>~</w:t>
            </w:r>
            <w:r>
              <w:rPr>
                <w:rFonts w:hint="eastAsia"/>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240" w:type="dxa"/>
            <w:vMerge w:val="restart"/>
            <w:tcBorders>
              <w:top w:val="single" w:color="auto" w:sz="4" w:space="0"/>
              <w:left w:val="single" w:color="auto" w:sz="4" w:space="0"/>
              <w:right w:val="single" w:color="auto" w:sz="4" w:space="0"/>
            </w:tcBorders>
            <w:vAlign w:val="center"/>
          </w:tcPr>
          <w:p>
            <w:pPr>
              <w:jc w:val="center"/>
              <w:rPr>
                <w:color w:val="000000"/>
              </w:rPr>
            </w:pPr>
            <w:r>
              <w:rPr>
                <w:rFonts w:hint="eastAsia"/>
                <w:color w:val="000000"/>
              </w:rPr>
              <w:t>服务</w:t>
            </w:r>
          </w:p>
        </w:tc>
        <w:tc>
          <w:tcPr>
            <w:tcW w:w="924" w:type="dxa"/>
            <w:vMerge w:val="restart"/>
            <w:tcBorders>
              <w:top w:val="single" w:color="auto" w:sz="4" w:space="0"/>
              <w:left w:val="single" w:color="auto" w:sz="4" w:space="0"/>
              <w:right w:val="single" w:color="auto" w:sz="4" w:space="0"/>
            </w:tcBorders>
            <w:vAlign w:val="center"/>
          </w:tcPr>
          <w:p>
            <w:pPr>
              <w:jc w:val="center"/>
              <w:rPr>
                <w:color w:val="000000"/>
              </w:rPr>
            </w:pPr>
            <w:r>
              <w:rPr>
                <w:color w:val="000000"/>
              </w:rPr>
              <w:t>11</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保修期</w:t>
            </w:r>
          </w:p>
          <w:p>
            <w:pPr>
              <w:jc w:val="center"/>
              <w:rPr>
                <w:color w:val="000000"/>
              </w:rPr>
            </w:pPr>
            <w:r>
              <w:rPr>
                <w:rFonts w:hint="eastAsia"/>
                <w:color w:val="000000"/>
              </w:rPr>
              <w:t>4</w:t>
            </w:r>
          </w:p>
        </w:tc>
        <w:tc>
          <w:tcPr>
            <w:tcW w:w="5103" w:type="dxa"/>
            <w:tcBorders>
              <w:top w:val="single" w:color="auto" w:sz="4" w:space="0"/>
              <w:left w:val="single" w:color="auto" w:sz="4" w:space="0"/>
              <w:bottom w:val="single" w:color="auto" w:sz="4" w:space="0"/>
              <w:right w:val="single" w:color="auto" w:sz="4" w:space="0"/>
            </w:tcBorders>
            <w:vAlign w:val="center"/>
          </w:tcPr>
          <w:p>
            <w:pPr>
              <w:ind w:firstLine="420" w:firstLineChars="200"/>
              <w:rPr>
                <w:color w:val="000000"/>
                <w:szCs w:val="21"/>
              </w:rPr>
            </w:pPr>
            <w:r>
              <w:rPr>
                <w:rFonts w:hint="eastAsia"/>
                <w:color w:val="000000"/>
                <w:szCs w:val="21"/>
              </w:rPr>
              <w:t>满足招标文件要求得2分；每延长一年加</w:t>
            </w:r>
            <w:r>
              <w:rPr>
                <w:color w:val="000000"/>
                <w:szCs w:val="21"/>
              </w:rPr>
              <w:t>1</w:t>
            </w:r>
            <w:r>
              <w:rPr>
                <w:rFonts w:hint="eastAsia"/>
                <w:color w:val="000000"/>
                <w:szCs w:val="21"/>
              </w:rPr>
              <w:t>分，最多加</w:t>
            </w:r>
            <w:r>
              <w:rPr>
                <w:color w:val="000000"/>
                <w:szCs w:val="21"/>
              </w:rPr>
              <w:t>2</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0" w:type="dxa"/>
            <w:vMerge w:val="continue"/>
            <w:tcBorders>
              <w:left w:val="single" w:color="auto" w:sz="4" w:space="0"/>
              <w:right w:val="single" w:color="auto" w:sz="4" w:space="0"/>
            </w:tcBorders>
            <w:vAlign w:val="center"/>
          </w:tcPr>
          <w:p>
            <w:pPr>
              <w:widowControl/>
              <w:jc w:val="left"/>
              <w:rPr>
                <w:color w:val="000000"/>
              </w:rPr>
            </w:pPr>
          </w:p>
        </w:tc>
        <w:tc>
          <w:tcPr>
            <w:tcW w:w="924" w:type="dxa"/>
            <w:vMerge w:val="continue"/>
            <w:tcBorders>
              <w:left w:val="single" w:color="auto" w:sz="4" w:space="0"/>
              <w:right w:val="single" w:color="auto" w:sz="4" w:space="0"/>
            </w:tcBorders>
            <w:vAlign w:val="center"/>
          </w:tcPr>
          <w:p>
            <w:pPr>
              <w:widowControl/>
              <w:jc w:val="left"/>
              <w:rPr>
                <w:color w:val="000000"/>
              </w:rPr>
            </w:pP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服务承诺</w:t>
            </w:r>
            <w:r>
              <w:rPr>
                <w:color w:val="000000"/>
              </w:rPr>
              <w:t>4</w:t>
            </w:r>
          </w:p>
        </w:tc>
        <w:tc>
          <w:tcPr>
            <w:tcW w:w="5103"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kern w:val="0"/>
                <w:szCs w:val="21"/>
              </w:rPr>
            </w:pPr>
            <w:r>
              <w:rPr>
                <w:rFonts w:hint="eastAsia"/>
                <w:color w:val="000000"/>
                <w:szCs w:val="21"/>
              </w:rPr>
              <w:t>1</w:t>
            </w:r>
            <w:r>
              <w:rPr>
                <w:color w:val="000000"/>
                <w:szCs w:val="21"/>
              </w:rPr>
              <w:t>.</w:t>
            </w:r>
            <w:r>
              <w:rPr>
                <w:rFonts w:hint="eastAsia"/>
                <w:color w:val="000000"/>
                <w:szCs w:val="21"/>
              </w:rPr>
              <w:t>根据产品故障报修的响应时间、处理速度以及技术支持、技术培训等服务</w:t>
            </w:r>
            <w:r>
              <w:rPr>
                <w:rFonts w:hint="eastAsia"/>
                <w:color w:val="000000"/>
              </w:rPr>
              <w:t>承诺评分，</w:t>
            </w:r>
            <w:r>
              <w:rPr>
                <w:rFonts w:hint="eastAsia"/>
                <w:color w:val="000000"/>
                <w:szCs w:val="21"/>
              </w:rPr>
              <w:t>评价好得</w:t>
            </w:r>
            <w:r>
              <w:rPr>
                <w:color w:val="000000"/>
                <w:szCs w:val="21"/>
              </w:rPr>
              <w:t>2</w:t>
            </w:r>
            <w:r>
              <w:rPr>
                <w:rFonts w:hint="eastAsia"/>
                <w:color w:val="000000"/>
                <w:szCs w:val="21"/>
              </w:rPr>
              <w:t>分；评价一般得</w:t>
            </w:r>
            <w:r>
              <w:rPr>
                <w:color w:val="000000"/>
                <w:szCs w:val="21"/>
              </w:rPr>
              <w:t>1</w:t>
            </w:r>
            <w:r>
              <w:rPr>
                <w:rFonts w:hint="eastAsia"/>
                <w:color w:val="000000"/>
                <w:szCs w:val="21"/>
              </w:rPr>
              <w:t>分。</w:t>
            </w:r>
          </w:p>
          <w:p>
            <w:pPr>
              <w:ind w:firstLine="420" w:firstLineChars="200"/>
              <w:rPr>
                <w:color w:val="000000"/>
              </w:rPr>
            </w:pPr>
            <w:r>
              <w:rPr>
                <w:rFonts w:hint="eastAsia" w:ascii="宋体" w:hAnsi="宋体" w:cs="宋体"/>
                <w:kern w:val="0"/>
                <w:szCs w:val="21"/>
              </w:rPr>
              <w:t>2.对投标人提供的保修期内定期保养维护方案横向比较，优秀得2分，</w:t>
            </w:r>
            <w:r>
              <w:rPr>
                <w:rFonts w:hint="eastAsia" w:ascii="宋体" w:hAnsi="宋体" w:cs="宋体"/>
                <w:kern w:val="0"/>
                <w:szCs w:val="21"/>
                <w:lang w:val="en-US" w:eastAsia="zh-CN"/>
              </w:rPr>
              <w:t>一般</w:t>
            </w:r>
            <w:r>
              <w:rPr>
                <w:rFonts w:hint="eastAsia" w:ascii="宋体" w:hAnsi="宋体" w:cs="宋体"/>
                <w:kern w:val="0"/>
                <w:szCs w:val="21"/>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240" w:type="dxa"/>
            <w:vMerge w:val="continue"/>
            <w:tcBorders>
              <w:left w:val="single" w:color="auto" w:sz="4" w:space="0"/>
              <w:right w:val="single" w:color="auto" w:sz="4" w:space="0"/>
            </w:tcBorders>
            <w:vAlign w:val="center"/>
          </w:tcPr>
          <w:p>
            <w:pPr>
              <w:widowControl/>
              <w:jc w:val="left"/>
              <w:rPr>
                <w:color w:val="000000"/>
              </w:rPr>
            </w:pPr>
          </w:p>
        </w:tc>
        <w:tc>
          <w:tcPr>
            <w:tcW w:w="924" w:type="dxa"/>
            <w:vMerge w:val="continue"/>
            <w:tcBorders>
              <w:left w:val="single" w:color="auto" w:sz="4" w:space="0"/>
              <w:right w:val="single" w:color="auto" w:sz="4" w:space="0"/>
            </w:tcBorders>
            <w:vAlign w:val="center"/>
          </w:tcPr>
          <w:p>
            <w:pPr>
              <w:widowControl/>
              <w:jc w:val="left"/>
              <w:rPr>
                <w:color w:val="000000"/>
              </w:rPr>
            </w:pP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收费情况</w:t>
            </w:r>
          </w:p>
          <w:p>
            <w:pPr>
              <w:jc w:val="center"/>
              <w:rPr>
                <w:color w:val="000000"/>
              </w:rPr>
            </w:pPr>
            <w:r>
              <w:rPr>
                <w:color w:val="000000"/>
              </w:rPr>
              <w:t>3</w:t>
            </w:r>
          </w:p>
        </w:tc>
        <w:tc>
          <w:tcPr>
            <w:tcW w:w="5103" w:type="dxa"/>
            <w:tcBorders>
              <w:top w:val="single" w:color="auto" w:sz="4" w:space="0"/>
              <w:left w:val="single" w:color="auto" w:sz="4" w:space="0"/>
              <w:bottom w:val="single" w:color="auto" w:sz="4" w:space="0"/>
              <w:right w:val="single" w:color="auto" w:sz="4" w:space="0"/>
            </w:tcBorders>
            <w:vAlign w:val="center"/>
          </w:tcPr>
          <w:p>
            <w:pPr>
              <w:ind w:firstLine="420" w:firstLineChars="200"/>
              <w:rPr>
                <w:color w:val="000000"/>
                <w:szCs w:val="21"/>
              </w:rPr>
            </w:pPr>
            <w:r>
              <w:rPr>
                <w:rFonts w:hint="eastAsia"/>
                <w:color w:val="000000"/>
                <w:szCs w:val="21"/>
              </w:rPr>
              <w:t>对投标人提供的保修期结束后的维修价格、配件及耗材价格的服务收费、优惠方案横向比较，优秀得3分，良好得2分，一般得1分</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业绩</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4</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业绩</w:t>
            </w:r>
          </w:p>
        </w:tc>
        <w:tc>
          <w:tcPr>
            <w:tcW w:w="5103" w:type="dxa"/>
            <w:tcBorders>
              <w:top w:val="single" w:color="auto" w:sz="4" w:space="0"/>
              <w:left w:val="single" w:color="auto" w:sz="4" w:space="0"/>
              <w:bottom w:val="single" w:color="auto" w:sz="4" w:space="0"/>
              <w:right w:val="single" w:color="auto" w:sz="4" w:space="0"/>
            </w:tcBorders>
            <w:vAlign w:val="center"/>
          </w:tcPr>
          <w:p>
            <w:pPr>
              <w:ind w:firstLine="420" w:firstLineChars="200"/>
              <w:rPr>
                <w:color w:val="000000"/>
              </w:rPr>
            </w:pPr>
            <w:r>
              <w:rPr>
                <w:rFonts w:hint="eastAsia"/>
                <w:color w:val="000000"/>
                <w:szCs w:val="21"/>
              </w:rPr>
              <w:t>根据投标人2</w:t>
            </w:r>
            <w:r>
              <w:rPr>
                <w:color w:val="000000"/>
                <w:szCs w:val="21"/>
              </w:rPr>
              <w:t>018</w:t>
            </w:r>
            <w:r>
              <w:rPr>
                <w:rFonts w:hint="eastAsia"/>
                <w:color w:val="000000"/>
                <w:szCs w:val="21"/>
              </w:rPr>
              <w:t>年以来与本次投标产品相似的同类产品销售情况评分（以提供的销售合同复印件为准，合同中不得隐去任何内容，否则无效，每份</w:t>
            </w:r>
            <w:r>
              <w:rPr>
                <w:color w:val="000000"/>
                <w:szCs w:val="21"/>
              </w:rPr>
              <w:t>1</w:t>
            </w:r>
            <w:r>
              <w:rPr>
                <w:rFonts w:hint="eastAsia"/>
                <w:color w:val="000000"/>
                <w:szCs w:val="21"/>
              </w:rPr>
              <w:t>分；同一买方的多份合同仅算一份业绩，得</w:t>
            </w:r>
            <w:r>
              <w:rPr>
                <w:color w:val="000000"/>
                <w:szCs w:val="21"/>
              </w:rPr>
              <w:t>1</w:t>
            </w:r>
            <w:r>
              <w:rPr>
                <w:rFonts w:hint="eastAsia"/>
                <w:color w:val="000000"/>
                <w:szCs w:val="21"/>
              </w:rPr>
              <w:t>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2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其它</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1</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投标文件</w:t>
            </w:r>
          </w:p>
        </w:tc>
        <w:tc>
          <w:tcPr>
            <w:tcW w:w="5103" w:type="dxa"/>
            <w:tcBorders>
              <w:top w:val="single" w:color="auto" w:sz="4" w:space="0"/>
              <w:left w:val="single" w:color="auto" w:sz="4" w:space="0"/>
              <w:bottom w:val="single" w:color="auto" w:sz="4" w:space="0"/>
              <w:right w:val="single" w:color="auto" w:sz="4" w:space="0"/>
            </w:tcBorders>
            <w:vAlign w:val="center"/>
          </w:tcPr>
          <w:p>
            <w:pPr>
              <w:ind w:firstLine="420" w:firstLineChars="200"/>
              <w:rPr>
                <w:color w:val="000000"/>
                <w:szCs w:val="21"/>
              </w:rPr>
            </w:pPr>
            <w:r>
              <w:rPr>
                <w:rFonts w:hint="eastAsia"/>
                <w:color w:val="000000"/>
                <w:szCs w:val="21"/>
              </w:rPr>
              <w:t>根据投标文件对招标文件的响应情况、表述清晰程度、规范性等评分</w:t>
            </w:r>
            <w:r>
              <w:rPr>
                <w:rFonts w:hint="eastAsia"/>
                <w:color w:val="000000"/>
              </w:rPr>
              <w:t>，满分</w:t>
            </w:r>
            <w:r>
              <w:rPr>
                <w:color w:val="000000"/>
              </w:rPr>
              <w:t>1</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24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合计</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b/>
                <w:color w:val="000000"/>
              </w:rPr>
            </w:pPr>
            <w:r>
              <w:rPr>
                <w:b/>
                <w:color w:val="000000"/>
              </w:rPr>
              <w:t>100</w:t>
            </w:r>
          </w:p>
        </w:tc>
        <w:tc>
          <w:tcPr>
            <w:tcW w:w="6549" w:type="dxa"/>
            <w:gridSpan w:val="2"/>
            <w:tcBorders>
              <w:top w:val="single" w:color="auto" w:sz="4" w:space="0"/>
              <w:left w:val="single" w:color="auto" w:sz="4" w:space="0"/>
              <w:bottom w:val="single" w:color="auto" w:sz="4" w:space="0"/>
              <w:right w:val="single" w:color="auto" w:sz="4" w:space="0"/>
            </w:tcBorders>
            <w:vAlign w:val="center"/>
          </w:tcPr>
          <w:p>
            <w:pPr>
              <w:tabs>
                <w:tab w:val="left" w:pos="945"/>
              </w:tabs>
              <w:ind w:firstLine="420" w:firstLineChars="200"/>
              <w:rPr>
                <w:color w:val="000000"/>
                <w:szCs w:val="21"/>
              </w:rPr>
            </w:pPr>
            <w:r>
              <w:rPr>
                <w:rFonts w:hint="eastAsia"/>
                <w:color w:val="000000"/>
                <w:szCs w:val="21"/>
              </w:rPr>
              <w:t>投标人最后得分保留两位小数</w:t>
            </w:r>
          </w:p>
        </w:tc>
      </w:tr>
    </w:tbl>
    <w:p/>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rFonts w:hint="eastAsia"/>
          <w:b/>
          <w:color w:val="000000" w:themeColor="text1"/>
          <w:sz w:val="24"/>
          <w14:textFill>
            <w14:solidFill>
              <w14:schemeClr w14:val="tx1"/>
            </w14:solidFill>
          </w14:textFill>
        </w:rPr>
      </w:pPr>
    </w:p>
    <w:p>
      <w:pPr>
        <w:spacing w:line="360" w:lineRule="auto"/>
        <w:ind w:firstLine="964" w:firstLineChars="4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为便于评分，请投标人按评分表样式，逐条列出证明材料所在页码，格式自定。</w:t>
      </w:r>
    </w:p>
    <w:p>
      <w:pPr>
        <w:spacing w:line="360"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r>
        <w:rPr>
          <w:rFonts w:ascii="宋体" w:hAnsi="宋体"/>
          <w:color w:val="000000" w:themeColor="text1"/>
          <w14:textFill>
            <w14:solidFill>
              <w14:schemeClr w14:val="tx1"/>
            </w14:solidFill>
          </w14:textFill>
        </w:rPr>
        <w:t>：</w:t>
      </w:r>
    </w:p>
    <w:p>
      <w:pPr>
        <w:spacing w:line="480" w:lineRule="exact"/>
        <w:ind w:firstLine="960" w:firstLineChars="400"/>
        <w:rPr>
          <w:rFonts w:ascii="宋体" w:hAnsi="宋体" w:cs="Arial"/>
          <w:color w:val="000000"/>
          <w:kern w:val="0"/>
          <w:sz w:val="24"/>
        </w:rPr>
      </w:pPr>
      <w:r>
        <w:rPr>
          <w:rFonts w:hint="eastAsia" w:ascii="宋体" w:hAnsi="宋体" w:cs="Arial"/>
          <w:color w:val="000000"/>
          <w:kern w:val="0"/>
          <w:sz w:val="24"/>
        </w:rPr>
        <w:t>1.</w:t>
      </w:r>
      <w:r>
        <w:rPr>
          <w:rFonts w:ascii="宋体" w:hAnsi="宋体" w:cs="Arial"/>
          <w:color w:val="000000"/>
          <w:kern w:val="0"/>
          <w:sz w:val="24"/>
        </w:rPr>
        <w:t>以上</w:t>
      </w:r>
      <w:r>
        <w:rPr>
          <w:rFonts w:hint="eastAsia" w:ascii="宋体" w:hAnsi="宋体" w:cs="Arial"/>
          <w:color w:val="000000"/>
          <w:kern w:val="0"/>
          <w:sz w:val="24"/>
        </w:rPr>
        <w:t>所有</w:t>
      </w:r>
      <w:r>
        <w:rPr>
          <w:rFonts w:ascii="宋体" w:hAnsi="宋体" w:cs="Arial"/>
          <w:color w:val="000000"/>
          <w:kern w:val="0"/>
          <w:sz w:val="24"/>
        </w:rPr>
        <w:t>证书、检测报告、合同等</w:t>
      </w:r>
      <w:r>
        <w:rPr>
          <w:rFonts w:hint="eastAsia" w:ascii="宋体" w:hAnsi="宋体" w:cs="Arial"/>
          <w:color w:val="000000"/>
          <w:kern w:val="0"/>
          <w:sz w:val="24"/>
        </w:rPr>
        <w:t>复印件</w:t>
      </w:r>
      <w:r>
        <w:rPr>
          <w:rFonts w:ascii="宋体" w:hAnsi="宋体" w:cs="Arial"/>
          <w:color w:val="000000"/>
          <w:kern w:val="0"/>
          <w:sz w:val="24"/>
        </w:rPr>
        <w:t>相关资料</w:t>
      </w:r>
      <w:r>
        <w:rPr>
          <w:rFonts w:hint="eastAsia" w:ascii="宋体" w:hAnsi="宋体" w:cs="Arial"/>
          <w:color w:val="000000"/>
          <w:kern w:val="0"/>
          <w:sz w:val="24"/>
        </w:rPr>
        <w:t>均需盖投标人公章</w:t>
      </w:r>
      <w:r>
        <w:rPr>
          <w:rFonts w:ascii="宋体" w:hAnsi="宋体" w:cs="Arial"/>
          <w:color w:val="000000"/>
          <w:kern w:val="0"/>
          <w:sz w:val="24"/>
        </w:rPr>
        <w:t>，</w:t>
      </w:r>
      <w:r>
        <w:rPr>
          <w:rFonts w:hint="eastAsia" w:ascii="宋体" w:hAnsi="宋体" w:cs="Arial"/>
          <w:color w:val="000000"/>
          <w:kern w:val="0"/>
          <w:sz w:val="24"/>
        </w:rPr>
        <w:t>原件备查</w:t>
      </w:r>
      <w:r>
        <w:rPr>
          <w:rFonts w:ascii="宋体" w:hAnsi="宋体" w:cs="Arial"/>
          <w:color w:val="000000"/>
          <w:kern w:val="0"/>
          <w:sz w:val="24"/>
        </w:rPr>
        <w:t>。</w:t>
      </w:r>
    </w:p>
    <w:p>
      <w:pPr>
        <w:spacing w:line="480" w:lineRule="exact"/>
        <w:ind w:firstLine="960" w:firstLineChars="400"/>
        <w:rPr>
          <w:rFonts w:ascii="宋体" w:hAnsi="宋体" w:cs="Arial"/>
          <w:color w:val="000000"/>
          <w:kern w:val="0"/>
          <w:sz w:val="24"/>
        </w:rPr>
      </w:pPr>
      <w:r>
        <w:rPr>
          <w:rFonts w:hint="eastAsia" w:ascii="宋体" w:hAnsi="宋体" w:cs="Arial"/>
          <w:color w:val="000000"/>
          <w:kern w:val="0"/>
          <w:sz w:val="24"/>
        </w:rPr>
        <w:t>2. 本次招标要求出样尺寸不小于400</w:t>
      </w:r>
      <w:r>
        <w:rPr>
          <w:rFonts w:hint="eastAsia" w:ascii="宋体" w:hAnsi="宋体" w:cs="Arial"/>
          <w:color w:val="000000"/>
          <w:kern w:val="0"/>
          <w:sz w:val="24"/>
          <w:lang w:val="en-US" w:eastAsia="zh-CN"/>
        </w:rPr>
        <w:t>mm</w:t>
      </w:r>
      <w:r>
        <w:rPr>
          <w:rFonts w:hint="eastAsia" w:ascii="宋体" w:hAnsi="宋体" w:cs="Arial"/>
          <w:color w:val="000000"/>
          <w:kern w:val="0"/>
          <w:sz w:val="24"/>
        </w:rPr>
        <w:t>*600</w:t>
      </w:r>
      <w:r>
        <w:rPr>
          <w:rFonts w:hint="eastAsia" w:ascii="宋体" w:hAnsi="宋体" w:cs="Arial"/>
          <w:color w:val="000000"/>
          <w:kern w:val="0"/>
          <w:sz w:val="24"/>
          <w:lang w:val="en-US" w:eastAsia="zh-CN"/>
        </w:rPr>
        <w:t>mm</w:t>
      </w:r>
      <w:r>
        <w:rPr>
          <w:rFonts w:hint="eastAsia" w:ascii="宋体" w:hAnsi="宋体" w:cs="Arial"/>
          <w:color w:val="000000"/>
          <w:kern w:val="0"/>
          <w:sz w:val="24"/>
        </w:rPr>
        <w:t>（宽*高）样品，材质与招标文件要求一致，未提供样品、样品提供不全或样品不符合采购文件要求的询价响应文件为无效响应。</w:t>
      </w:r>
      <w:r>
        <w:rPr>
          <w:rFonts w:ascii="宋体" w:hAnsi="宋体" w:cs="Arial"/>
          <w:color w:val="000000"/>
          <w:kern w:val="0"/>
          <w:sz w:val="24"/>
        </w:rPr>
        <w:t>样品不得出现投标人的单位名称及商标，</w:t>
      </w:r>
      <w:r>
        <w:rPr>
          <w:rFonts w:hint="eastAsia" w:ascii="宋体" w:hAnsi="宋体" w:cs="Arial"/>
          <w:color w:val="000000"/>
          <w:kern w:val="0"/>
          <w:sz w:val="24"/>
        </w:rPr>
        <w:t>如出现的则样品得零分</w:t>
      </w:r>
      <w:r>
        <w:rPr>
          <w:rFonts w:ascii="宋体" w:hAnsi="宋体" w:cs="Arial"/>
          <w:color w:val="000000"/>
          <w:kern w:val="0"/>
          <w:sz w:val="24"/>
        </w:rPr>
        <w:t>。样品未提供或提供不全的，</w:t>
      </w:r>
      <w:r>
        <w:rPr>
          <w:rFonts w:hint="eastAsia" w:ascii="宋体" w:hAnsi="宋体" w:cs="Arial"/>
          <w:color w:val="000000"/>
          <w:kern w:val="0"/>
          <w:sz w:val="24"/>
        </w:rPr>
        <w:t>样品得零分</w:t>
      </w:r>
      <w:r>
        <w:rPr>
          <w:rFonts w:ascii="宋体" w:hAnsi="宋体" w:cs="Arial"/>
          <w:color w:val="000000"/>
          <w:kern w:val="0"/>
          <w:sz w:val="24"/>
        </w:rPr>
        <w:t>。</w:t>
      </w:r>
    </w:p>
    <w:p>
      <w:pPr>
        <w:spacing w:line="480" w:lineRule="exact"/>
        <w:ind w:firstLine="480" w:firstLineChars="200"/>
        <w:rPr>
          <w:rFonts w:ascii="宋体" w:hAnsi="宋体" w:cs="Arial"/>
          <w:color w:val="000000"/>
          <w:kern w:val="0"/>
          <w:sz w:val="24"/>
        </w:rPr>
      </w:pPr>
      <w:r>
        <w:rPr>
          <w:rFonts w:hint="eastAsia" w:ascii="宋体" w:hAnsi="宋体" w:cs="Arial"/>
          <w:color w:val="000000"/>
          <w:kern w:val="0"/>
          <w:sz w:val="24"/>
        </w:rPr>
        <w:t>3.投标人的样品送样后由招标工作人员进行编号登记。评委以编号为单位进行独立评定，评委有权对样品进行破坏性检测，投标所有费用由投标人自行承担。</w:t>
      </w:r>
    </w:p>
    <w:p>
      <w:pPr>
        <w:spacing w:line="480" w:lineRule="exact"/>
        <w:ind w:firstLine="480" w:firstLineChars="200"/>
        <w:rPr>
          <w:rFonts w:ascii="宋体" w:hAnsi="宋体" w:cs="Arial"/>
          <w:color w:val="000000"/>
          <w:kern w:val="0"/>
          <w:sz w:val="24"/>
        </w:rPr>
      </w:pPr>
      <w:r>
        <w:rPr>
          <w:rFonts w:ascii="宋体" w:hAnsi="宋体" w:cs="Arial"/>
          <w:color w:val="000000"/>
          <w:kern w:val="0"/>
          <w:sz w:val="24"/>
        </w:rPr>
        <w:t>4.</w:t>
      </w:r>
      <w:r>
        <w:rPr>
          <w:rFonts w:hint="eastAsia" w:ascii="宋体" w:hAnsi="宋体" w:cs="Arial"/>
          <w:color w:val="000000"/>
          <w:kern w:val="0"/>
          <w:sz w:val="24"/>
        </w:rPr>
        <w:t>本次招标，除货物本身价格外，其费用还涵盖常规的材料、运输、力资、税费、安装、售后服务等招标文件规定的所有费用。</w:t>
      </w:r>
    </w:p>
    <w:p>
      <w:pPr>
        <w:spacing w:line="480" w:lineRule="exact"/>
        <w:ind w:firstLine="480" w:firstLineChars="200"/>
        <w:rPr>
          <w:rFonts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.评标结束后，中标单位的样品封存，未中标单位取走。</w:t>
      </w:r>
    </w:p>
    <w:p>
      <w:pPr>
        <w:spacing w:line="360" w:lineRule="auto"/>
        <w:ind w:firstLine="420" w:firstLineChars="200"/>
        <w:rPr>
          <w:rFonts w:ascii="宋体" w:hAnsi="宋体"/>
          <w:color w:val="000000" w:themeColor="text1"/>
          <w14:textFill>
            <w14:solidFill>
              <w14:schemeClr w14:val="tx1"/>
            </w14:solidFill>
          </w14:textFill>
        </w:rPr>
      </w:pPr>
    </w:p>
    <w:p>
      <w:pPr>
        <w:pStyle w:val="3"/>
        <w:rPr>
          <w:color w:val="000000" w:themeColor="text1"/>
          <w14:textFill>
            <w14:solidFill>
              <w14:schemeClr w14:val="tx1"/>
            </w14:solidFill>
          </w14:textFill>
        </w:rPr>
      </w:pPr>
      <w:bookmarkStart w:id="11" w:name="_Toc71711253"/>
      <w:r>
        <w:rPr>
          <w:rFonts w:hint="eastAsia"/>
          <w:color w:val="000000" w:themeColor="text1"/>
          <w14:textFill>
            <w14:solidFill>
              <w14:schemeClr w14:val="tx1"/>
            </w14:solidFill>
          </w14:textFill>
        </w:rPr>
        <w:t>六、定标</w:t>
      </w:r>
      <w:bookmarkEnd w:id="11"/>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按照得分高低顺序对投标人进行排列。</w:t>
      </w:r>
      <w:r>
        <w:rPr>
          <w:rFonts w:hint="eastAsia"/>
          <w:color w:val="000000" w:themeColor="text1"/>
          <w:sz w:val="24"/>
          <w14:textFill>
            <w14:solidFill>
              <w14:schemeClr w14:val="tx1"/>
            </w14:solidFill>
          </w14:textFill>
        </w:rPr>
        <w:t>得分相同的，按投标报价由低到高顺序排列。得分最高且排名第一的投标人将被推荐为中标候选人或者直接被确定为中标人。</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6.2.</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认为中标候选人的报价明显低于其他通过符合性审查投标人的报价，有可能影响产品质量或者不能诚信履约，中标候选人若无合理说明，不能证明其报价合理性的，</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可取消其中标资格。</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6.3. </w:t>
      </w:r>
      <w:r>
        <w:rPr>
          <w:rFonts w:hint="eastAsia"/>
          <w:color w:val="000000" w:themeColor="text1"/>
          <w:sz w:val="24"/>
          <w14:textFill>
            <w14:solidFill>
              <w14:schemeClr w14:val="tx1"/>
            </w14:solidFill>
          </w14:textFill>
        </w:rPr>
        <w:t>评标小组认为所有投标报价均不合理或所有投标方案均不能满足招标人要求时，有权否决所有投标，评标小组也没有义务必须接受最低报价的投标。</w:t>
      </w:r>
    </w:p>
    <w:p>
      <w:pPr>
        <w:spacing w:line="360" w:lineRule="auto"/>
        <w:ind w:firstLine="472" w:firstLineChars="196"/>
        <w:rPr>
          <w:rFonts w:ascii="宋体" w:cs="Arial"/>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6.4. </w:t>
      </w:r>
      <w:r>
        <w:rPr>
          <w:rFonts w:hint="eastAsia" w:ascii="宋体" w:hAnsi="宋体" w:cs="Arial"/>
          <w:color w:val="000000" w:themeColor="text1"/>
          <w:sz w:val="24"/>
          <w14:textFill>
            <w14:solidFill>
              <w14:schemeClr w14:val="tx1"/>
            </w14:solidFill>
          </w14:textFill>
        </w:rPr>
        <w:t>出现下列情形之一的，招标人有权决定本次招标作废标处理：</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发生影响招标公平、公正的违法、违规行为的；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投标人的投标报价均超过了采购预算，学校不能支付的；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因重大变故，采购任务取消的。</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6.5. </w:t>
      </w:r>
      <w:r>
        <w:rPr>
          <w:rFonts w:hint="eastAsia"/>
          <w:color w:val="000000" w:themeColor="text1"/>
          <w:sz w:val="24"/>
          <w14:textFill>
            <w14:solidFill>
              <w14:schemeClr w14:val="tx1"/>
            </w14:solidFill>
          </w14:textFill>
        </w:rPr>
        <w:t>对未中标的投标人，招标人不做未中标解释。</w:t>
      </w:r>
    </w:p>
    <w:p>
      <w:pPr>
        <w:pStyle w:val="3"/>
        <w:rPr>
          <w:color w:val="000000" w:themeColor="text1"/>
          <w14:textFill>
            <w14:solidFill>
              <w14:schemeClr w14:val="tx1"/>
            </w14:solidFill>
          </w14:textFill>
        </w:rPr>
      </w:pPr>
      <w:bookmarkStart w:id="12" w:name="_Toc71711254"/>
      <w:r>
        <w:rPr>
          <w:rFonts w:hint="eastAsia"/>
          <w:color w:val="000000" w:themeColor="text1"/>
          <w14:textFill>
            <w14:solidFill>
              <w14:schemeClr w14:val="tx1"/>
            </w14:solidFill>
          </w14:textFill>
        </w:rPr>
        <w:t>七、合同的签订</w:t>
      </w:r>
      <w:bookmarkEnd w:id="12"/>
    </w:p>
    <w:p>
      <w:pPr>
        <w:spacing w:line="360" w:lineRule="auto"/>
        <w:ind w:right="-4" w:rightChars="-2" w:firstLine="475" w:firstLineChars="197"/>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7.1. </w:t>
      </w:r>
      <w:r>
        <w:rPr>
          <w:rFonts w:hint="eastAsia" w:ascii="宋体" w:hAnsi="宋体" w:cs="宋体"/>
          <w:color w:val="000000" w:themeColor="text1"/>
          <w:kern w:val="0"/>
          <w:sz w:val="24"/>
          <w14:textFill>
            <w14:solidFill>
              <w14:schemeClr w14:val="tx1"/>
            </w14:solidFill>
          </w14:textFill>
        </w:rPr>
        <w:t>中标人确定后，招标人将通过学校招标网公示</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天，公示期满无异议，中标人应在7日内与招标人签订采购合同，过期视为放弃中标。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7.2. </w:t>
      </w:r>
      <w:r>
        <w:rPr>
          <w:rFonts w:hint="eastAsia" w:ascii="宋体" w:hAnsi="宋体" w:cs="宋体"/>
          <w:color w:val="000000" w:themeColor="text1"/>
          <w:kern w:val="0"/>
          <w:sz w:val="24"/>
          <w14:textFill>
            <w14:solidFill>
              <w14:schemeClr w14:val="tx1"/>
            </w14:solidFill>
          </w14:textFill>
        </w:rPr>
        <w:t>本招标文件和中标人的投标文件包括中标人所做出的各种书面承诺将作为招标人与中标人双方签订合同的依据，并作为合同的附件与合同具有同等法律效力。</w:t>
      </w:r>
    </w:p>
    <w:p>
      <w:pPr>
        <w:spacing w:line="360" w:lineRule="auto"/>
        <w:ind w:firstLine="482" w:firstLineChars="200"/>
        <w:rPr>
          <w:rFonts w:eastAsia="黑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7.3. </w:t>
      </w:r>
      <w:r>
        <w:rPr>
          <w:rFonts w:hint="eastAsia"/>
          <w:color w:val="000000" w:themeColor="text1"/>
          <w:sz w:val="24"/>
          <w14:textFill>
            <w14:solidFill>
              <w14:schemeClr w14:val="tx1"/>
            </w14:solidFill>
          </w14:textFill>
        </w:rPr>
        <w:t>如投标人中标后悔标，招标人将取消该投标人本次中标资格及今后两年内的投标资格。</w:t>
      </w:r>
    </w:p>
    <w:p>
      <w:pPr>
        <w:pStyle w:val="3"/>
        <w:rPr>
          <w:color w:val="000000" w:themeColor="text1"/>
          <w14:textFill>
            <w14:solidFill>
              <w14:schemeClr w14:val="tx1"/>
            </w14:solidFill>
          </w14:textFill>
        </w:rPr>
      </w:pPr>
      <w:bookmarkStart w:id="13" w:name="_Toc71711255"/>
      <w:r>
        <w:rPr>
          <w:rFonts w:hint="eastAsia"/>
          <w:color w:val="000000" w:themeColor="text1"/>
          <w14:textFill>
            <w14:solidFill>
              <w14:schemeClr w14:val="tx1"/>
            </w14:solidFill>
          </w14:textFill>
        </w:rPr>
        <w:t>八、其他</w:t>
      </w:r>
      <w:bookmarkEnd w:id="13"/>
    </w:p>
    <w:p>
      <w:pPr>
        <w:spacing w:line="360" w:lineRule="auto"/>
        <w:ind w:firstLine="482" w:firstLineChars="200"/>
        <w:rPr>
          <w:rFonts w:ascii="宋体"/>
          <w:b/>
          <w:color w:val="000000" w:themeColor="text1"/>
          <w:spacing w:val="4"/>
          <w:sz w:val="44"/>
          <w:szCs w:val="44"/>
          <w14:textFill>
            <w14:solidFill>
              <w14:schemeClr w14:val="tx1"/>
            </w14:solidFill>
          </w14:textFill>
        </w:rPr>
      </w:pPr>
      <w:r>
        <w:rPr>
          <w:rFonts w:ascii="黑体" w:eastAsia="黑体"/>
          <w:b/>
          <w:color w:val="000000" w:themeColor="text1"/>
          <w:sz w:val="24"/>
          <w14:textFill>
            <w14:solidFill>
              <w14:schemeClr w14:val="tx1"/>
            </w14:solidFill>
          </w14:textFill>
        </w:rPr>
        <w:t xml:space="preserve">8.1. </w:t>
      </w:r>
      <w:r>
        <w:rPr>
          <w:rFonts w:hint="eastAsia" w:ascii="黑体" w:eastAsia="黑体"/>
          <w:b/>
          <w:color w:val="000000" w:themeColor="text1"/>
          <w:sz w:val="24"/>
          <w14:textFill>
            <w14:solidFill>
              <w14:schemeClr w14:val="tx1"/>
            </w14:solidFill>
          </w14:textFill>
        </w:rPr>
        <w:t>投标人无论中标与否，招标人不承担投标人参加投标的任何费用。</w:t>
      </w:r>
    </w:p>
    <w:p>
      <w:pPr>
        <w:pStyle w:val="2"/>
        <w:jc w:val="center"/>
        <w:rPr>
          <w:color w:val="000000" w:themeColor="text1"/>
          <w14:textFill>
            <w14:solidFill>
              <w14:schemeClr w14:val="tx1"/>
            </w14:solidFill>
          </w14:textFill>
        </w:rPr>
      </w:pPr>
      <w:r>
        <w:rPr>
          <w:rFonts w:ascii="宋体"/>
          <w:color w:val="000000" w:themeColor="text1"/>
          <w:spacing w:val="4"/>
          <w14:textFill>
            <w14:solidFill>
              <w14:schemeClr w14:val="tx1"/>
            </w14:solidFill>
          </w14:textFill>
        </w:rPr>
        <w:br w:type="page"/>
      </w:r>
      <w:bookmarkStart w:id="14" w:name="_Toc71711256"/>
      <w:r>
        <w:rPr>
          <w:rFonts w:hint="eastAsia"/>
          <w:color w:val="000000" w:themeColor="text1"/>
          <w14:textFill>
            <w14:solidFill>
              <w14:schemeClr w14:val="tx1"/>
            </w14:solidFill>
          </w14:textFill>
        </w:rPr>
        <w:t>第三部分招标货物要求及相关说明</w:t>
      </w:r>
      <w:bookmarkEnd w:id="14"/>
    </w:p>
    <w:p>
      <w:pPr>
        <w:rPr>
          <w:color w:val="000000" w:themeColor="text1"/>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一、总体要求：</w:t>
      </w:r>
    </w:p>
    <w:p>
      <w:pPr>
        <w:tabs>
          <w:tab w:val="left" w:pos="630"/>
          <w:tab w:val="left" w:pos="4320"/>
        </w:tabs>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本次所采购设备的制造和安装须符合我国最新的有关技术标准和规范。</w:t>
      </w:r>
    </w:p>
    <w:p>
      <w:pPr>
        <w:spacing w:line="360" w:lineRule="auto"/>
        <w:ind w:firstLine="480" w:firstLineChars="200"/>
        <w:rPr>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二、货物需求一览表</w:t>
      </w:r>
    </w:p>
    <w:tbl>
      <w:tblPr>
        <w:tblStyle w:val="28"/>
        <w:tblW w:w="9356" w:type="dxa"/>
        <w:tblInd w:w="-5" w:type="dxa"/>
        <w:tblLayout w:type="autofit"/>
        <w:tblCellMar>
          <w:top w:w="0" w:type="dxa"/>
          <w:left w:w="108" w:type="dxa"/>
          <w:bottom w:w="0" w:type="dxa"/>
          <w:right w:w="108" w:type="dxa"/>
        </w:tblCellMar>
      </w:tblPr>
      <w:tblGrid>
        <w:gridCol w:w="698"/>
        <w:gridCol w:w="1782"/>
        <w:gridCol w:w="838"/>
        <w:gridCol w:w="1104"/>
        <w:gridCol w:w="3158"/>
        <w:gridCol w:w="1776"/>
      </w:tblGrid>
      <w:tr>
        <w:tblPrEx>
          <w:tblCellMar>
            <w:top w:w="0" w:type="dxa"/>
            <w:left w:w="108" w:type="dxa"/>
            <w:bottom w:w="0" w:type="dxa"/>
            <w:right w:w="108" w:type="dxa"/>
          </w:tblCellMar>
        </w:tblPrEx>
        <w:trPr>
          <w:trHeight w:val="338" w:hRule="atLeast"/>
        </w:trPr>
        <w:tc>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Arial"/>
                <w:b/>
                <w:bCs/>
                <w:color w:val="000000"/>
                <w:kern w:val="0"/>
                <w:sz w:val="24"/>
              </w:rPr>
            </w:pPr>
            <w:r>
              <w:rPr>
                <w:rFonts w:hint="eastAsia" w:ascii="黑体" w:hAnsi="黑体" w:eastAsia="黑体" w:cs="Arial"/>
                <w:b/>
                <w:bCs/>
                <w:color w:val="000000"/>
                <w:kern w:val="0"/>
                <w:sz w:val="24"/>
              </w:rPr>
              <w:t>序号</w:t>
            </w:r>
          </w:p>
        </w:tc>
        <w:tc>
          <w:tcPr>
            <w:tcW w:w="184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Arial"/>
                <w:b/>
                <w:bCs/>
                <w:color w:val="000000"/>
                <w:kern w:val="0"/>
                <w:sz w:val="24"/>
              </w:rPr>
            </w:pPr>
            <w:r>
              <w:rPr>
                <w:rFonts w:hint="eastAsia" w:ascii="黑体" w:hAnsi="黑体" w:eastAsia="黑体" w:cs="Arial"/>
                <w:b/>
                <w:bCs/>
                <w:color w:val="000000"/>
                <w:kern w:val="0"/>
                <w:sz w:val="24"/>
              </w:rPr>
              <w:t>名称</w:t>
            </w:r>
          </w:p>
        </w:tc>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Arial"/>
                <w:b/>
                <w:bCs/>
                <w:color w:val="000000"/>
                <w:kern w:val="0"/>
                <w:sz w:val="24"/>
              </w:rPr>
            </w:pPr>
            <w:r>
              <w:rPr>
                <w:rFonts w:hint="eastAsia" w:ascii="黑体" w:hAnsi="黑体" w:eastAsia="黑体" w:cs="Arial"/>
                <w:b/>
                <w:bCs/>
                <w:color w:val="000000"/>
                <w:kern w:val="0"/>
                <w:sz w:val="24"/>
              </w:rPr>
              <w:t>数量</w:t>
            </w:r>
          </w:p>
        </w:tc>
        <w:tc>
          <w:tcPr>
            <w:tcW w:w="113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Arial"/>
                <w:b/>
                <w:bCs/>
                <w:color w:val="000000"/>
                <w:kern w:val="0"/>
                <w:sz w:val="24"/>
              </w:rPr>
            </w:pPr>
            <w:r>
              <w:rPr>
                <w:rFonts w:hint="eastAsia" w:ascii="黑体" w:hAnsi="黑体" w:eastAsia="黑体" w:cs="Arial"/>
                <w:b/>
                <w:bCs/>
                <w:color w:val="000000"/>
                <w:kern w:val="0"/>
                <w:sz w:val="24"/>
              </w:rPr>
              <w:t>单位</w:t>
            </w:r>
          </w:p>
        </w:tc>
        <w:tc>
          <w:tcPr>
            <w:tcW w:w="326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Arial"/>
                <w:b/>
                <w:bCs/>
                <w:color w:val="000000"/>
                <w:kern w:val="0"/>
                <w:sz w:val="24"/>
              </w:rPr>
            </w:pPr>
            <w:r>
              <w:rPr>
                <w:rFonts w:hint="eastAsia" w:ascii="黑体" w:hAnsi="黑体" w:eastAsia="黑体" w:cs="Arial"/>
                <w:b/>
                <w:bCs/>
                <w:color w:val="000000"/>
                <w:kern w:val="0"/>
                <w:sz w:val="24"/>
              </w:rPr>
              <w:t>技术参数</w:t>
            </w:r>
          </w:p>
        </w:tc>
        <w:tc>
          <w:tcPr>
            <w:tcW w:w="15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Arial"/>
                <w:b/>
                <w:bCs/>
                <w:color w:val="000000"/>
                <w:kern w:val="0"/>
                <w:sz w:val="24"/>
              </w:rPr>
            </w:pPr>
            <w:r>
              <w:rPr>
                <w:rFonts w:hint="eastAsia" w:ascii="黑体" w:hAnsi="黑体" w:eastAsia="黑体" w:cs="Arial"/>
                <w:b/>
                <w:bCs/>
                <w:color w:val="000000"/>
                <w:kern w:val="0"/>
                <w:sz w:val="24"/>
              </w:rPr>
              <w:t>尺寸</w:t>
            </w:r>
          </w:p>
        </w:tc>
      </w:tr>
      <w:tr>
        <w:tblPrEx>
          <w:tblCellMar>
            <w:top w:w="0" w:type="dxa"/>
            <w:left w:w="108" w:type="dxa"/>
            <w:bottom w:w="0" w:type="dxa"/>
            <w:right w:w="108" w:type="dxa"/>
          </w:tblCellMar>
        </w:tblPrEx>
        <w:trPr>
          <w:trHeight w:val="353"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c>
          <w:tcPr>
            <w:tcW w:w="3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r>
      <w:tr>
        <w:tblPrEx>
          <w:tblCellMar>
            <w:top w:w="0" w:type="dxa"/>
            <w:left w:w="108" w:type="dxa"/>
            <w:bottom w:w="0" w:type="dxa"/>
            <w:right w:w="108" w:type="dxa"/>
          </w:tblCellMar>
        </w:tblPrEx>
        <w:trPr>
          <w:trHeight w:val="353"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c>
          <w:tcPr>
            <w:tcW w:w="3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b/>
                <w:bCs/>
                <w:color w:val="000000"/>
                <w:kern w:val="0"/>
                <w:sz w:val="24"/>
              </w:rPr>
            </w:pPr>
          </w:p>
        </w:tc>
      </w:tr>
      <w:tr>
        <w:tblPrEx>
          <w:tblCellMar>
            <w:top w:w="0" w:type="dxa"/>
            <w:left w:w="108" w:type="dxa"/>
            <w:bottom w:w="0" w:type="dxa"/>
            <w:right w:w="108" w:type="dxa"/>
          </w:tblCellMar>
        </w:tblPrEx>
        <w:trPr>
          <w:trHeight w:val="15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一楼标间金钢纱网窗</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樘</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1.纱网采用：304不锈钢，密度为14~18目，厚度为65S。</w:t>
            </w:r>
          </w:p>
          <w:p>
            <w:pPr>
              <w:widowControl/>
              <w:jc w:val="left"/>
              <w:rPr>
                <w:rFonts w:ascii="宋体" w:hAnsi="宋体" w:cs="Arial"/>
                <w:color w:val="000000"/>
                <w:kern w:val="0"/>
                <w:sz w:val="24"/>
              </w:rPr>
            </w:pPr>
            <w:r>
              <w:rPr>
                <w:rFonts w:hint="eastAsia" w:ascii="宋体" w:hAnsi="宋体" w:cs="Arial"/>
                <w:color w:val="000000"/>
                <w:kern w:val="0"/>
                <w:sz w:val="24"/>
              </w:rPr>
              <w:t>2.外框为65型1.4mm厚型材（国标厚度）。</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1600mm*900mm</w:t>
            </w:r>
          </w:p>
        </w:tc>
      </w:tr>
      <w:tr>
        <w:tblPrEx>
          <w:tblCellMar>
            <w:top w:w="0" w:type="dxa"/>
            <w:left w:w="108" w:type="dxa"/>
            <w:bottom w:w="0" w:type="dxa"/>
            <w:right w:w="108" w:type="dxa"/>
          </w:tblCellMar>
        </w:tblPrEx>
        <w:trPr>
          <w:trHeight w:val="151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其他标间金钢纱网窗</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104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樘</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1.纱网采用：304不锈钢，密度为14~18目，厚度为65S。</w:t>
            </w:r>
          </w:p>
          <w:p>
            <w:pPr>
              <w:widowControl/>
              <w:jc w:val="left"/>
              <w:rPr>
                <w:rFonts w:ascii="宋体" w:hAnsi="宋体" w:cs="Arial"/>
                <w:color w:val="000000"/>
                <w:kern w:val="0"/>
                <w:sz w:val="24"/>
              </w:rPr>
            </w:pPr>
            <w:r>
              <w:rPr>
                <w:rFonts w:hint="eastAsia" w:ascii="宋体" w:hAnsi="宋体" w:cs="Arial"/>
                <w:color w:val="000000"/>
                <w:kern w:val="0"/>
                <w:sz w:val="24"/>
              </w:rPr>
              <w:t>2.外框为65型1.4mm厚型材（国标厚度）。</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1200mm*1000mm</w:t>
            </w:r>
          </w:p>
        </w:tc>
      </w:tr>
      <w:tr>
        <w:tblPrEx>
          <w:tblCellMar>
            <w:top w:w="0" w:type="dxa"/>
            <w:left w:w="108" w:type="dxa"/>
            <w:bottom w:w="0" w:type="dxa"/>
            <w:right w:w="108" w:type="dxa"/>
          </w:tblCellMar>
        </w:tblPrEx>
        <w:trPr>
          <w:trHeight w:val="151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套间金钢纱网窗</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100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樘</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1.纱网采用：304不锈钢，密度为14~18目，厚度为65S。</w:t>
            </w:r>
          </w:p>
          <w:p>
            <w:pPr>
              <w:widowControl/>
              <w:jc w:val="left"/>
              <w:rPr>
                <w:rFonts w:ascii="宋体" w:hAnsi="宋体" w:cs="Arial"/>
                <w:color w:val="000000"/>
                <w:kern w:val="0"/>
                <w:sz w:val="24"/>
              </w:rPr>
            </w:pPr>
            <w:r>
              <w:rPr>
                <w:rFonts w:hint="eastAsia" w:ascii="宋体" w:hAnsi="宋体" w:cs="Arial"/>
                <w:color w:val="000000"/>
                <w:kern w:val="0"/>
                <w:sz w:val="24"/>
              </w:rPr>
              <w:t>2.外框为65型1.4mm厚型材（国标厚度）。</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1200mm*900mm</w:t>
            </w:r>
          </w:p>
        </w:tc>
      </w:tr>
      <w:tr>
        <w:tblPrEx>
          <w:tblCellMar>
            <w:top w:w="0" w:type="dxa"/>
            <w:left w:w="108" w:type="dxa"/>
            <w:bottom w:w="0" w:type="dxa"/>
            <w:right w:w="108" w:type="dxa"/>
          </w:tblCellMar>
        </w:tblPrEx>
        <w:trPr>
          <w:trHeight w:val="151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一楼大厅卫生间金钢纱网窗</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樘</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1.纱网采用：304不锈钢，密度为14~18目，厚度为65S。</w:t>
            </w:r>
          </w:p>
          <w:p>
            <w:pPr>
              <w:widowControl/>
              <w:jc w:val="left"/>
              <w:rPr>
                <w:rFonts w:ascii="宋体" w:hAnsi="宋体" w:cs="Arial"/>
                <w:color w:val="000000"/>
                <w:kern w:val="0"/>
                <w:sz w:val="24"/>
              </w:rPr>
            </w:pPr>
            <w:r>
              <w:rPr>
                <w:rFonts w:hint="eastAsia" w:ascii="宋体" w:hAnsi="宋体" w:cs="Arial"/>
                <w:color w:val="000000"/>
                <w:kern w:val="0"/>
                <w:sz w:val="24"/>
              </w:rPr>
              <w:t>2.外框为65型1.4mm厚型材（国标厚度）。</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rPr>
            </w:pPr>
            <w:r>
              <w:rPr>
                <w:rFonts w:hint="eastAsia" w:ascii="宋体" w:hAnsi="宋体" w:cs="Arial"/>
                <w:color w:val="000000"/>
                <w:kern w:val="0"/>
                <w:sz w:val="24"/>
              </w:rPr>
              <w:t>1080mm*940mm</w:t>
            </w:r>
          </w:p>
        </w:tc>
      </w:tr>
    </w:tbl>
    <w:p>
      <w:pPr>
        <w:rPr>
          <w:b/>
          <w:color w:val="000000" w:themeColor="text1"/>
          <w:sz w:val="24"/>
          <w14:textFill>
            <w14:solidFill>
              <w14:schemeClr w14:val="tx1"/>
            </w14:solidFill>
          </w14:textFill>
        </w:rPr>
      </w:pPr>
    </w:p>
    <w:p>
      <w:pPr>
        <w:ind w:firstLine="1084" w:firstLineChars="45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备注（具体数量以实际工作量为准，按实结算）</w:t>
      </w:r>
    </w:p>
    <w:p>
      <w:pPr>
        <w:ind w:firstLine="1084" w:firstLineChars="450"/>
        <w:rPr>
          <w:b/>
          <w:color w:val="000000" w:themeColor="text1"/>
          <w:sz w:val="24"/>
          <w14:textFill>
            <w14:solidFill>
              <w14:schemeClr w14:val="tx1"/>
            </w14:solidFill>
          </w14:textFill>
        </w:rPr>
      </w:pP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注：1、本次招标要求出样尺寸不小于400</w:t>
      </w:r>
      <w:r>
        <w:rPr>
          <w:rFonts w:hint="eastAsia" w:ascii="宋体" w:hAnsi="宋体" w:cs="Arial"/>
          <w:color w:val="000000"/>
          <w:kern w:val="0"/>
          <w:sz w:val="24"/>
          <w:lang w:val="en-US" w:eastAsia="zh-CN"/>
        </w:rPr>
        <w:t>mm</w:t>
      </w:r>
      <w:r>
        <w:rPr>
          <w:rFonts w:hint="eastAsia" w:ascii="宋体" w:hAnsi="宋体" w:cs="Arial"/>
          <w:color w:val="000000"/>
          <w:kern w:val="0"/>
          <w:sz w:val="24"/>
        </w:rPr>
        <w:t>*600</w:t>
      </w:r>
      <w:r>
        <w:rPr>
          <w:rFonts w:hint="eastAsia" w:ascii="宋体" w:hAnsi="宋体" w:cs="Arial"/>
          <w:color w:val="000000"/>
          <w:kern w:val="0"/>
          <w:sz w:val="24"/>
          <w:lang w:val="en-US" w:eastAsia="zh-CN"/>
        </w:rPr>
        <w:t>mm</w:t>
      </w:r>
      <w:r>
        <w:rPr>
          <w:rFonts w:hint="eastAsia" w:ascii="宋体" w:hAnsi="宋体" w:cs="Arial"/>
          <w:color w:val="000000"/>
          <w:kern w:val="0"/>
          <w:sz w:val="24"/>
        </w:rPr>
        <w:t>（宽*高）样品，材质与招标文件要求一致，未提供样品、样品提供不全或样品不符合采购文件要求的响应文件为无效响应文件。</w:t>
      </w:r>
    </w:p>
    <w:p>
      <w:pPr>
        <w:spacing w:line="360" w:lineRule="auto"/>
        <w:ind w:firstLine="960" w:firstLineChars="400"/>
        <w:rPr>
          <w:rFonts w:ascii="宋体" w:hAnsi="宋体" w:cs="Arial"/>
          <w:color w:val="000000"/>
          <w:kern w:val="0"/>
          <w:sz w:val="24"/>
        </w:rPr>
      </w:pPr>
      <w:r>
        <w:rPr>
          <w:rFonts w:ascii="宋体" w:hAnsi="宋体" w:cs="Arial"/>
          <w:color w:val="000000"/>
          <w:kern w:val="0"/>
          <w:sz w:val="24"/>
        </w:rPr>
        <w:t>2</w:t>
      </w:r>
      <w:r>
        <w:rPr>
          <w:rFonts w:hint="eastAsia" w:ascii="宋体" w:hAnsi="宋体" w:cs="Arial"/>
          <w:color w:val="000000"/>
          <w:kern w:val="0"/>
          <w:sz w:val="24"/>
        </w:rPr>
        <w:t>、</w:t>
      </w:r>
      <w:r>
        <w:rPr>
          <w:rFonts w:ascii="宋体" w:hAnsi="宋体" w:cs="Arial"/>
          <w:color w:val="000000"/>
          <w:kern w:val="0"/>
          <w:sz w:val="24"/>
        </w:rPr>
        <w:t>样品不得出现投标人的单位名称及商标，</w:t>
      </w:r>
      <w:r>
        <w:rPr>
          <w:rFonts w:hint="eastAsia" w:ascii="宋体" w:hAnsi="宋体" w:cs="Arial"/>
          <w:color w:val="000000"/>
          <w:kern w:val="0"/>
          <w:sz w:val="24"/>
        </w:rPr>
        <w:t>如出现的则样品得零分</w:t>
      </w:r>
      <w:r>
        <w:rPr>
          <w:rFonts w:ascii="宋体" w:hAnsi="宋体" w:cs="Arial"/>
          <w:color w:val="000000"/>
          <w:kern w:val="0"/>
          <w:sz w:val="24"/>
        </w:rPr>
        <w:t>。</w:t>
      </w:r>
    </w:p>
    <w:p>
      <w:pPr>
        <w:spacing w:line="480" w:lineRule="exact"/>
        <w:ind w:firstLine="960" w:firstLineChars="400"/>
        <w:rPr>
          <w:rFonts w:ascii="宋体" w:hAnsi="宋体" w:cs="Arial"/>
          <w:color w:val="000000"/>
          <w:kern w:val="0"/>
          <w:sz w:val="24"/>
        </w:rPr>
      </w:pPr>
      <w:r>
        <w:rPr>
          <w:rFonts w:ascii="宋体" w:hAnsi="宋体" w:cs="Arial"/>
          <w:color w:val="000000"/>
          <w:kern w:val="0"/>
          <w:sz w:val="24"/>
        </w:rPr>
        <w:t>3</w:t>
      </w:r>
      <w:r>
        <w:rPr>
          <w:rFonts w:hint="eastAsia" w:ascii="宋体" w:hAnsi="宋体" w:cs="Arial"/>
          <w:color w:val="000000"/>
          <w:kern w:val="0"/>
          <w:sz w:val="24"/>
        </w:rPr>
        <w:t>、投标人的样品送样后由招标工作人员进行编号登记。评委以编号为单位进行独立评定，评委有权对样品进行破坏性检测，投标所有费用由投标人自行承担。</w:t>
      </w:r>
    </w:p>
    <w:p>
      <w:pPr>
        <w:spacing w:line="480" w:lineRule="exact"/>
        <w:ind w:firstLine="960" w:firstLineChars="400"/>
        <w:rPr>
          <w:rFonts w:hint="eastAsia" w:ascii="宋体" w:hAnsi="宋体" w:cs="Arial"/>
          <w:color w:val="000000"/>
          <w:kern w:val="0"/>
          <w:sz w:val="24"/>
        </w:rPr>
      </w:pPr>
      <w:r>
        <w:rPr>
          <w:rFonts w:hint="eastAsia" w:ascii="宋体" w:hAnsi="宋体" w:cs="Arial"/>
          <w:color w:val="000000"/>
          <w:kern w:val="0"/>
          <w:sz w:val="24"/>
        </w:rPr>
        <w:t>4、铝型材参考品牌：</w:t>
      </w:r>
      <w:r>
        <w:rPr>
          <w:rFonts w:hint="eastAsia" w:ascii="宋体" w:hAnsi="宋体"/>
          <w:sz w:val="24"/>
        </w:rPr>
        <w:t>忠旺、凤铝、亚铝</w:t>
      </w:r>
    </w:p>
    <w:p>
      <w:pPr>
        <w:spacing w:line="360" w:lineRule="auto"/>
        <w:ind w:firstLine="480" w:firstLineChars="200"/>
        <w:rPr>
          <w:color w:val="auto"/>
          <w:sz w:val="24"/>
        </w:rPr>
      </w:pPr>
      <w:r>
        <w:rPr>
          <w:rFonts w:hint="eastAsia"/>
          <w:color w:val="auto"/>
          <w:sz w:val="24"/>
        </w:rPr>
        <w:t>清单中的品牌型号为参考品牌，技术参数是本次招标所需要的基本参数，投标人所投产品须符合或优于标书中的技术参数。</w:t>
      </w:r>
    </w:p>
    <w:p>
      <w:pPr>
        <w:spacing w:line="360" w:lineRule="auto"/>
        <w:ind w:firstLine="480" w:firstLineChars="200"/>
        <w:rPr>
          <w:color w:val="auto"/>
          <w:sz w:val="24"/>
        </w:rPr>
      </w:pPr>
      <w:r>
        <w:rPr>
          <w:rFonts w:hint="eastAsia"/>
          <w:color w:val="auto"/>
          <w:sz w:val="24"/>
        </w:rPr>
        <w:t>中标</w:t>
      </w:r>
      <w:r>
        <w:rPr>
          <w:color w:val="auto"/>
          <w:sz w:val="24"/>
        </w:rPr>
        <w:t>后，</w:t>
      </w:r>
      <w:r>
        <w:rPr>
          <w:rFonts w:hint="eastAsia"/>
          <w:color w:val="auto"/>
          <w:sz w:val="24"/>
        </w:rPr>
        <w:t>若为代理商则需提供响应产品生产企业销售授权证明书以及设备生产企业的生产许可证副本复印件，生产企业需提供设备的生产许可证副本复印件；</w:t>
      </w:r>
    </w:p>
    <w:p>
      <w:pPr>
        <w:ind w:firstLine="900" w:firstLineChars="450"/>
        <w:rPr>
          <w:color w:val="000000" w:themeColor="text1"/>
          <w:kern w:val="0"/>
          <w:sz w:val="20"/>
          <w14:textFill>
            <w14:solidFill>
              <w14:schemeClr w14:val="tx1"/>
            </w14:solidFill>
          </w14:textFill>
        </w:rPr>
      </w:pPr>
    </w:p>
    <w:p>
      <w:pPr>
        <w:spacing w:line="360" w:lineRule="auto"/>
        <w:rPr>
          <w:color w:val="000000" w:themeColor="text1"/>
          <w:sz w:val="28"/>
          <w:szCs w:val="28"/>
          <w:lang w:val="zh-CN"/>
          <w14:textFill>
            <w14:solidFill>
              <w14:schemeClr w14:val="tx1"/>
            </w14:solidFill>
          </w14:textFill>
        </w:rPr>
      </w:pPr>
    </w:p>
    <w:p>
      <w:pPr>
        <w:spacing w:line="360" w:lineRule="auto"/>
        <w:rPr>
          <w:color w:val="000000" w:themeColor="text1"/>
          <w:sz w:val="28"/>
          <w:szCs w:val="28"/>
          <w:lang w:val="zh-CN"/>
          <w14:textFill>
            <w14:solidFill>
              <w14:schemeClr w14:val="tx1"/>
            </w14:solidFill>
          </w14:textFill>
        </w:rPr>
      </w:pPr>
    </w:p>
    <w:p>
      <w:pPr>
        <w:spacing w:line="360" w:lineRule="auto"/>
        <w:rPr>
          <w:color w:val="000000" w:themeColor="text1"/>
          <w:sz w:val="24"/>
          <w14:textFill>
            <w14:solidFill>
              <w14:schemeClr w14:val="tx1"/>
            </w14:solidFill>
          </w14:textFill>
        </w:rPr>
      </w:pPr>
      <w:r>
        <w:rPr>
          <w:color w:val="000000" w:themeColor="text1"/>
          <w:sz w:val="28"/>
          <w:szCs w:val="28"/>
          <w:lang w:val="zh-CN"/>
          <w14:textFill>
            <w14:solidFill>
              <w14:schemeClr w14:val="tx1"/>
            </w14:solidFill>
          </w14:textFill>
        </w:rPr>
        <w:br w:type="page"/>
      </w:r>
    </w:p>
    <w:p>
      <w:pPr>
        <w:spacing w:line="560" w:lineRule="exact"/>
        <w:ind w:firstLine="482" w:firstLineChars="200"/>
        <w:rPr>
          <w:rFonts w:ascii="黑体" w:hAnsi="黑体" w:eastAsia="黑体"/>
          <w:b/>
          <w:color w:val="000000" w:themeColor="text1"/>
          <w:sz w:val="24"/>
          <w14:textFill>
            <w14:solidFill>
              <w14:schemeClr w14:val="tx1"/>
            </w14:solidFill>
          </w14:textFill>
        </w:rPr>
        <w:sectPr>
          <w:footerReference r:id="rId3" w:type="default"/>
          <w:footerReference r:id="rId4" w:type="even"/>
          <w:pgSz w:w="11906" w:h="16838"/>
          <w:pgMar w:top="1440" w:right="1080" w:bottom="1440" w:left="1080" w:header="851" w:footer="992" w:gutter="0"/>
          <w:pgNumType w:start="0"/>
          <w:cols w:space="425" w:num="1"/>
          <w:titlePg/>
          <w:docGrid w:type="lines" w:linePitch="312" w:charSpace="0"/>
        </w:sectPr>
      </w:pPr>
    </w:p>
    <w:p>
      <w:pPr>
        <w:widowControl/>
        <w:jc w:val="left"/>
        <w:rPr>
          <w:color w:val="000000" w:themeColor="text1"/>
          <w:sz w:val="24"/>
          <w14:textFill>
            <w14:solidFill>
              <w14:schemeClr w14:val="tx1"/>
            </w14:solidFill>
          </w14:textFill>
        </w:rPr>
      </w:pPr>
    </w:p>
    <w:p>
      <w:pPr>
        <w:pStyle w:val="2"/>
        <w:jc w:val="center"/>
        <w:rPr>
          <w:color w:val="000000" w:themeColor="text1"/>
          <w14:textFill>
            <w14:solidFill>
              <w14:schemeClr w14:val="tx1"/>
            </w14:solidFill>
          </w14:textFill>
        </w:rPr>
      </w:pPr>
      <w:bookmarkStart w:id="15" w:name="_Toc71711257"/>
      <w:r>
        <w:rPr>
          <w:rFonts w:hint="eastAsia"/>
          <w:color w:val="000000" w:themeColor="text1"/>
          <w14:textFill>
            <w14:solidFill>
              <w14:schemeClr w14:val="tx1"/>
            </w14:solidFill>
          </w14:textFill>
        </w:rPr>
        <w:t>第四部分合同主要条款</w:t>
      </w:r>
      <w:bookmarkEnd w:id="15"/>
    </w:p>
    <w:p>
      <w:pPr>
        <w:spacing w:line="400" w:lineRule="exact"/>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、交货期</w:t>
      </w:r>
    </w:p>
    <w:p>
      <w:pPr>
        <w:spacing w:line="400" w:lineRule="exact"/>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2021</w:t>
      </w:r>
      <w:r>
        <w:rPr>
          <w:rFonts w:hint="eastAsia"/>
          <w:b/>
          <w:bCs/>
          <w:color w:val="000000" w:themeColor="text1"/>
          <w:sz w:val="24"/>
          <w14:textFill>
            <w14:solidFill>
              <w14:schemeClr w14:val="tx1"/>
            </w14:solidFill>
          </w14:textFill>
        </w:rPr>
        <w:t>年</w:t>
      </w:r>
      <w:r>
        <w:rPr>
          <w:b/>
          <w:bCs/>
          <w:color w:val="000000" w:themeColor="text1"/>
          <w:sz w:val="24"/>
          <w14:textFill>
            <w14:solidFill>
              <w14:schemeClr w14:val="tx1"/>
            </w14:solidFill>
          </w14:textFill>
        </w:rPr>
        <w:t>8月25</w:t>
      </w:r>
      <w:r>
        <w:rPr>
          <w:rFonts w:hint="eastAsia"/>
          <w:b/>
          <w:bCs/>
          <w:color w:val="000000" w:themeColor="text1"/>
          <w:sz w:val="24"/>
          <w14:textFill>
            <w14:solidFill>
              <w14:schemeClr w14:val="tx1"/>
            </w14:solidFill>
          </w14:textFill>
        </w:rPr>
        <w:t>日（安装完成）</w:t>
      </w:r>
    </w:p>
    <w:p>
      <w:pPr>
        <w:spacing w:line="40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、交货地点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南通大学启东校区</w:t>
      </w:r>
    </w:p>
    <w:p>
      <w:pPr>
        <w:spacing w:line="40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、付款方式</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用户收到货物并验收合格后，凭卖方开具的增值税专用发票</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个工作日内支付合同总金额的</w:t>
      </w:r>
      <w:r>
        <w:rPr>
          <w:color w:val="000000" w:themeColor="text1"/>
          <w:sz w:val="24"/>
          <w14:textFill>
            <w14:solidFill>
              <w14:schemeClr w14:val="tx1"/>
            </w14:solidFill>
          </w14:textFill>
        </w:rPr>
        <w:t>95</w:t>
      </w:r>
      <w:r>
        <w:rPr>
          <w:rFonts w:hint="eastAsia"/>
          <w:color w:val="000000" w:themeColor="text1"/>
          <w:sz w:val="24"/>
          <w14:textFill>
            <w14:solidFill>
              <w14:schemeClr w14:val="tx1"/>
            </w14:solidFill>
          </w14:textFill>
        </w:rPr>
        <w:t>％，另</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％作为质保金，待质保期满后根据质保和售后服务情况支付。</w:t>
      </w:r>
    </w:p>
    <w:p>
      <w:pPr>
        <w:spacing w:line="40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、保修期及售后服务</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）验收合格后整套免费保修</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三</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年，保修期自愿延长不限；</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）保修期内，因货物质量问题导致的各种故障的技术服务及维修所产生的一切费用由卖方负责承担；</w:t>
      </w:r>
    </w:p>
    <w:p>
      <w:pPr>
        <w:spacing w:line="420" w:lineRule="atLeast"/>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（3）售后服务承诺书中承诺的其他条款。</w:t>
      </w:r>
    </w:p>
    <w:p>
      <w:pPr>
        <w:spacing w:line="400" w:lineRule="exact"/>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、安装、调试及验收要求</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）卖方应在买方的配合下，负责对货物的现场安装调试；</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（2）卖方应在规定的期限内完成安装调试工作。如因卖方责任而造成安装调试的延期，因延期而产生的所有费用由卖方承担；</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（3）最终验收在买方使用现场进行，在货物达到验收标准，包括应满足中国安全标准和环境保护标准后，买卖双方共同签署验收合格报告；</w:t>
      </w:r>
    </w:p>
    <w:p>
      <w:pPr>
        <w:spacing w:line="420" w:lineRule="atLeast"/>
        <w:ind w:firstLine="480" w:firstLineChars="200"/>
        <w:rPr>
          <w:b/>
          <w:i/>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（4）卖方人员在买方安装调试期间所产生一切费用由卖方承担。</w:t>
      </w:r>
      <w:r>
        <w:rPr>
          <w:b/>
          <w:i/>
          <w:color w:val="000000" w:themeColor="text1"/>
          <w:sz w:val="24"/>
          <w14:textFill>
            <w14:solidFill>
              <w14:schemeClr w14:val="tx1"/>
            </w14:solidFill>
          </w14:textFill>
        </w:rPr>
        <w:t xml:space="preserve"> </w:t>
      </w:r>
    </w:p>
    <w:p>
      <w:pPr>
        <w:spacing w:line="400" w:lineRule="exact"/>
        <w:ind w:firstLine="480" w:firstLineChars="200"/>
        <w:rPr>
          <w:color w:val="000000" w:themeColor="text1"/>
          <w:sz w:val="24"/>
          <w14:textFill>
            <w14:solidFill>
              <w14:schemeClr w14:val="tx1"/>
            </w14:solidFill>
          </w14:textFill>
        </w:rPr>
      </w:pPr>
    </w:p>
    <w:p>
      <w:pPr>
        <w:pStyle w:val="2"/>
        <w:jc w:val="center"/>
        <w:rPr>
          <w:rFonts w:ascii="宋体"/>
          <w:b w:val="0"/>
          <w:color w:val="000000" w:themeColor="text1"/>
          <w:spacing w:val="4"/>
          <w14:textFill>
            <w14:solidFill>
              <w14:schemeClr w14:val="tx1"/>
            </w14:solidFill>
          </w14:textFill>
        </w:rPr>
      </w:pPr>
      <w:r>
        <w:rPr>
          <w:color w:val="000000" w:themeColor="text1"/>
          <w:sz w:val="24"/>
          <w14:textFill>
            <w14:solidFill>
              <w14:schemeClr w14:val="tx1"/>
            </w14:solidFill>
          </w14:textFill>
        </w:rPr>
        <w:br w:type="page"/>
      </w:r>
      <w:bookmarkStart w:id="16" w:name="_Toc71711258"/>
      <w:r>
        <w:rPr>
          <w:rFonts w:hint="eastAsia"/>
          <w:color w:val="000000" w:themeColor="text1"/>
          <w14:textFill>
            <w14:solidFill>
              <w14:schemeClr w14:val="tx1"/>
            </w14:solidFill>
          </w14:textFill>
        </w:rPr>
        <w:t>第五部分附件</w:t>
      </w:r>
      <w:bookmarkEnd w:id="16"/>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：投标函</w:t>
      </w: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2</w:t>
      </w:r>
      <w:r>
        <w:rPr>
          <w:rFonts w:hint="eastAsia" w:ascii="宋体" w:hAnsi="宋体"/>
          <w:color w:val="000000" w:themeColor="text1"/>
          <w:spacing w:val="4"/>
          <w:sz w:val="24"/>
          <w14:textFill>
            <w14:solidFill>
              <w14:schemeClr w14:val="tx1"/>
            </w14:solidFill>
          </w14:textFill>
        </w:rPr>
        <w:t>：投标报价总表</w:t>
      </w: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3</w:t>
      </w:r>
      <w:r>
        <w:rPr>
          <w:rFonts w:hint="eastAsia" w:ascii="宋体" w:hAnsi="宋体"/>
          <w:color w:val="000000" w:themeColor="text1"/>
          <w:spacing w:val="4"/>
          <w:sz w:val="24"/>
          <w14:textFill>
            <w14:solidFill>
              <w14:schemeClr w14:val="tx1"/>
            </w14:solidFill>
          </w14:textFill>
        </w:rPr>
        <w:t>：配置清单及分项报价表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4</w:t>
      </w:r>
      <w:r>
        <w:rPr>
          <w:rFonts w:hint="eastAsia" w:ascii="宋体" w:hAnsi="宋体"/>
          <w:color w:val="000000" w:themeColor="text1"/>
          <w:spacing w:val="4"/>
          <w:sz w:val="24"/>
          <w14:textFill>
            <w14:solidFill>
              <w14:schemeClr w14:val="tx1"/>
            </w14:solidFill>
          </w14:textFill>
        </w:rPr>
        <w:t>：技术规格响应</w:t>
      </w:r>
      <w:r>
        <w:rPr>
          <w:rFonts w:ascii="宋体" w:hAnsi="宋体"/>
          <w:color w:val="000000" w:themeColor="text1"/>
          <w:spacing w:val="4"/>
          <w:sz w:val="24"/>
          <w14:textFill>
            <w14:solidFill>
              <w14:schemeClr w14:val="tx1"/>
            </w14:solidFill>
          </w14:textFill>
        </w:rPr>
        <w:t>/</w:t>
      </w:r>
      <w:r>
        <w:rPr>
          <w:rFonts w:hint="eastAsia" w:ascii="宋体" w:hAnsi="宋体"/>
          <w:color w:val="000000" w:themeColor="text1"/>
          <w:spacing w:val="4"/>
          <w:sz w:val="24"/>
          <w14:textFill>
            <w14:solidFill>
              <w14:schemeClr w14:val="tx1"/>
            </w14:solidFill>
          </w14:textFill>
        </w:rPr>
        <w:t>偏</w:t>
      </w:r>
      <w:r>
        <w:rPr>
          <w:rFonts w:hint="eastAsia"/>
          <w:color w:val="000000" w:themeColor="text1"/>
          <w:sz w:val="24"/>
          <w14:textFill>
            <w14:solidFill>
              <w14:schemeClr w14:val="tx1"/>
            </w14:solidFill>
          </w14:textFill>
        </w:rPr>
        <w:t>离表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5</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商务条款响应</w:t>
      </w:r>
      <w:r>
        <w:rPr>
          <w:rFonts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偏离表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6</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法定代表人资格证明</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7</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法定代表人授权书</w:t>
      </w:r>
    </w:p>
    <w:p>
      <w:pPr>
        <w:spacing w:line="360" w:lineRule="auto"/>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附件</w:t>
      </w:r>
      <w:r>
        <w:rPr>
          <w:rFonts w:hint="eastAsia" w:cs="宋体"/>
          <w:color w:val="000000" w:themeColor="text1"/>
          <w:sz w:val="24"/>
          <w14:textFill>
            <w14:solidFill>
              <w14:schemeClr w14:val="tx1"/>
            </w14:solidFill>
          </w14:textFill>
        </w:rPr>
        <w:t>8：</w:t>
      </w:r>
      <w:r>
        <w:rPr>
          <w:rFonts w:cs="宋体"/>
          <w:color w:val="000000" w:themeColor="text1"/>
          <w:sz w:val="24"/>
          <w14:textFill>
            <w14:solidFill>
              <w14:schemeClr w14:val="tx1"/>
            </w14:solidFill>
          </w14:textFill>
        </w:rPr>
        <w:t>无重大违法记录声明</w:t>
      </w:r>
    </w:p>
    <w:p>
      <w:pPr>
        <w:spacing w:line="360" w:lineRule="auto"/>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附件9：诚信承诺书</w:t>
      </w:r>
    </w:p>
    <w:p>
      <w:pPr>
        <w:pStyle w:val="3"/>
        <w:rPr>
          <w:b w:val="0"/>
          <w:color w:val="000000" w:themeColor="text1"/>
          <w:sz w:val="21"/>
          <w:szCs w:val="21"/>
          <w14:textFill>
            <w14:solidFill>
              <w14:schemeClr w14:val="tx1"/>
            </w14:solidFill>
          </w14:textFill>
        </w:rPr>
      </w:pPr>
      <w:r>
        <w:rPr>
          <w:color w:val="000000" w:themeColor="text1"/>
          <w:sz w:val="24"/>
          <w14:textFill>
            <w14:solidFill>
              <w14:schemeClr w14:val="tx1"/>
            </w14:solidFill>
          </w14:textFill>
        </w:rPr>
        <w:br w:type="page"/>
      </w:r>
      <w:bookmarkStart w:id="17" w:name="_Toc71711259"/>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1</w:t>
      </w:r>
      <w:r>
        <w:rPr>
          <w:rFonts w:hint="eastAsia"/>
          <w:b w:val="0"/>
          <w:color w:val="000000" w:themeColor="text1"/>
          <w:sz w:val="21"/>
          <w:szCs w:val="21"/>
          <w14:textFill>
            <w14:solidFill>
              <w14:schemeClr w14:val="tx1"/>
            </w14:solidFill>
          </w14:textFill>
        </w:rPr>
        <w:t>：投标函</w:t>
      </w:r>
      <w:bookmarkEnd w:id="17"/>
    </w:p>
    <w:p>
      <w:pPr>
        <w:jc w:val="center"/>
        <w:rPr>
          <w:rFonts w:ascii="宋体"/>
          <w:color w:val="000000" w:themeColor="text1"/>
          <w14:textFill>
            <w14:solidFill>
              <w14:schemeClr w14:val="tx1"/>
            </w14:solidFill>
          </w14:textFill>
        </w:rPr>
      </w:pPr>
      <w:r>
        <w:rPr>
          <w:rFonts w:hint="eastAsia" w:ascii="宋体" w:hAnsi="宋体"/>
          <w:b/>
          <w:bCs/>
          <w:color w:val="000000" w:themeColor="text1"/>
          <w:sz w:val="44"/>
          <w14:textFill>
            <w14:solidFill>
              <w14:schemeClr w14:val="tx1"/>
            </w14:solidFill>
          </w14:textFill>
        </w:rPr>
        <w:t>投标函</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南通大学启东校区建设挥部：</w:t>
      </w:r>
    </w:p>
    <w:p>
      <w:pPr>
        <w:spacing w:line="360" w:lineRule="auto"/>
        <w:ind w:left="1" w:firstLine="564" w:firstLineChars="2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我方经仔细阅读研究项目招标文件（项目编号），已完全了解招标文件中的所有条款及要求，决定参加投标，同时做出如下承诺：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、我公司与本招标项目及该项目相关人员之间均不存在可能影响招标公正性的任何利害关系。</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、愿按招标文件的要求提供货物和服务，投标货物及服务的投标总价为：</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（小写）</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，（大写）</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、接受招标文件的所有条款、条件和</w:t>
      </w:r>
      <w:r>
        <w:rPr>
          <w:rFonts w:hint="eastAsia" w:ascii="宋体" w:hAnsi="宋体"/>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放弃对招标文件提出质疑的权利。</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、同意按照招标文件的要求提供所有资料、数据或信息。</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、我方如中标，将保证遵守招标文件对投标人的所有要求和规定，履行自己在投标文件中承诺的全部责任和义务。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tbl>
      <w:tblPr>
        <w:tblStyle w:val="28"/>
        <w:tblW w:w="0" w:type="auto"/>
        <w:jc w:val="center"/>
        <w:tblLayout w:type="autofit"/>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投标人（公章）：</w:t>
            </w:r>
          </w:p>
        </w:tc>
        <w:tc>
          <w:tcPr>
            <w:tcW w:w="4678" w:type="dxa"/>
            <w:tcBorders>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授权代表（签名）：</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手机：</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ascii="Adobe 黑体 Std R" w:hAnsi="Adobe 黑体 Std R" w:eastAsia="Adobe 黑体 Std R"/>
                <w:color w:val="000000" w:themeColor="text1"/>
                <w:sz w:val="24"/>
                <w14:textFill>
                  <w14:solidFill>
                    <w14:schemeClr w14:val="tx1"/>
                  </w14:solidFill>
                </w14:textFill>
              </w:rPr>
              <w:t>E  m  a  i  l</w:t>
            </w:r>
            <w:r>
              <w:rPr>
                <w:rFonts w:hint="eastAsia"/>
                <w:color w:val="000000" w:themeColor="text1"/>
                <w:sz w:val="24"/>
                <w14:textFill>
                  <w14:solidFill>
                    <w14:schemeClr w14:val="tx1"/>
                  </w14:solidFill>
                </w14:textFill>
              </w:rPr>
              <w:t>：</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日期：</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bl>
    <w:p>
      <w:pPr>
        <w:spacing w:line="360" w:lineRule="auto"/>
        <w:ind w:firstLine="480" w:firstLineChars="200"/>
        <w:rPr>
          <w:color w:val="000000" w:themeColor="text1"/>
          <w:sz w:val="24"/>
          <w14:textFill>
            <w14:solidFill>
              <w14:schemeClr w14:val="tx1"/>
            </w14:solidFill>
          </w14:textFill>
        </w:rPr>
      </w:pPr>
    </w:p>
    <w:p>
      <w:pPr>
        <w:snapToGrid w:val="0"/>
        <w:spacing w:line="360" w:lineRule="auto"/>
        <w:ind w:left="-143" w:leftChars="-68" w:right="-351" w:rightChars="-167"/>
        <w:rPr>
          <w:rFonts w:ascii="宋体"/>
          <w:color w:val="000000" w:themeColor="text1"/>
          <w:spacing w:val="4"/>
          <w:sz w:val="24"/>
          <w14:textFill>
            <w14:solidFill>
              <w14:schemeClr w14:val="tx1"/>
            </w14:solidFill>
          </w14:textFill>
        </w:rPr>
        <w:sectPr>
          <w:pgSz w:w="11906" w:h="16838"/>
          <w:pgMar w:top="1440" w:right="1077" w:bottom="1440" w:left="1077" w:header="851" w:footer="992" w:gutter="0"/>
          <w:cols w:space="425" w:num="1"/>
          <w:titlePg/>
          <w:docGrid w:linePitch="312" w:charSpace="0"/>
        </w:sectPr>
      </w:pPr>
    </w:p>
    <w:p>
      <w:pPr>
        <w:pStyle w:val="3"/>
        <w:rPr>
          <w:b w:val="0"/>
          <w:color w:val="000000" w:themeColor="text1"/>
          <w:sz w:val="21"/>
          <w:szCs w:val="21"/>
          <w14:textFill>
            <w14:solidFill>
              <w14:schemeClr w14:val="tx1"/>
            </w14:solidFill>
          </w14:textFill>
        </w:rPr>
      </w:pPr>
      <w:bookmarkStart w:id="18" w:name="_Toc71711260"/>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2</w:t>
      </w:r>
      <w:r>
        <w:rPr>
          <w:rFonts w:hint="eastAsia"/>
          <w:b w:val="0"/>
          <w:color w:val="000000" w:themeColor="text1"/>
          <w:sz w:val="21"/>
          <w:szCs w:val="21"/>
          <w14:textFill>
            <w14:solidFill>
              <w14:schemeClr w14:val="tx1"/>
            </w14:solidFill>
          </w14:textFill>
        </w:rPr>
        <w:t>：投标报价总表</w:t>
      </w:r>
      <w:bookmarkEnd w:id="18"/>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投标报价总表</w:t>
      </w:r>
    </w:p>
    <w:tbl>
      <w:tblPr>
        <w:tblStyle w:val="28"/>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768"/>
        <w:gridCol w:w="850"/>
        <w:gridCol w:w="644"/>
        <w:gridCol w:w="1624"/>
        <w:gridCol w:w="2835"/>
        <w:gridCol w:w="952"/>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5953" w:type="dxa"/>
            <w:gridSpan w:val="4"/>
            <w:vAlign w:val="center"/>
          </w:tcPr>
          <w:p>
            <w:pPr>
              <w:spacing w:line="360" w:lineRule="auto"/>
              <w:jc w:val="center"/>
              <w:rPr>
                <w:rFonts w:ascii="宋体"/>
                <w:b/>
                <w:color w:val="000000" w:themeColor="text1"/>
                <w:szCs w:val="21"/>
                <w14:textFill>
                  <w14:solidFill>
                    <w14:schemeClr w14:val="tx1"/>
                  </w14:solidFill>
                </w14:textFill>
              </w:rPr>
            </w:pPr>
          </w:p>
        </w:tc>
        <w:tc>
          <w:tcPr>
            <w:tcW w:w="1928"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625" w:type="dxa"/>
            <w:gridSpan w:val="4"/>
            <w:vAlign w:val="center"/>
          </w:tcPr>
          <w:p>
            <w:pPr>
              <w:spacing w:line="360" w:lineRule="auto"/>
              <w:jc w:val="center"/>
              <w:rPr>
                <w:rFonts w:asci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262" w:type="dxa"/>
            <w:gridSpan w:val="3"/>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货物名称</w:t>
            </w:r>
          </w:p>
        </w:tc>
        <w:tc>
          <w:tcPr>
            <w:tcW w:w="1624"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规格型号</w:t>
            </w:r>
          </w:p>
        </w:tc>
        <w:tc>
          <w:tcPr>
            <w:tcW w:w="2835"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生产厂商和国籍地区</w:t>
            </w:r>
          </w:p>
        </w:tc>
        <w:tc>
          <w:tcPr>
            <w:tcW w:w="95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976"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货币</w:t>
            </w:r>
          </w:p>
        </w:tc>
        <w:tc>
          <w:tcPr>
            <w:tcW w:w="1191"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单价（元）</w:t>
            </w:r>
          </w:p>
        </w:tc>
        <w:tc>
          <w:tcPr>
            <w:tcW w:w="119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总价（元）</w:t>
            </w:r>
          </w:p>
        </w:tc>
        <w:tc>
          <w:tcPr>
            <w:tcW w:w="935"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保修期</w:t>
            </w:r>
          </w:p>
        </w:tc>
        <w:tc>
          <w:tcPr>
            <w:tcW w:w="1307"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1624" w:type="dxa"/>
          </w:tcPr>
          <w:p>
            <w:pPr>
              <w:spacing w:line="360" w:lineRule="auto"/>
              <w:rPr>
                <w:rFonts w:ascii="宋体"/>
                <w:color w:val="000000" w:themeColor="text1"/>
                <w:sz w:val="24"/>
                <w14:textFill>
                  <w14:solidFill>
                    <w14:schemeClr w14:val="tx1"/>
                  </w14:solidFill>
                </w14:textFill>
              </w:rPr>
            </w:pPr>
          </w:p>
        </w:tc>
        <w:tc>
          <w:tcPr>
            <w:tcW w:w="2835" w:type="dxa"/>
          </w:tcPr>
          <w:p>
            <w:pPr>
              <w:spacing w:line="360" w:lineRule="auto"/>
              <w:rPr>
                <w:rFonts w:ascii="宋体"/>
                <w:color w:val="000000" w:themeColor="text1"/>
                <w:sz w:val="24"/>
                <w14:textFill>
                  <w14:solidFill>
                    <w14:schemeClr w14:val="tx1"/>
                  </w14:solidFill>
                </w14:textFill>
              </w:rPr>
            </w:pPr>
          </w:p>
        </w:tc>
        <w:tc>
          <w:tcPr>
            <w:tcW w:w="952"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1624" w:type="dxa"/>
          </w:tcPr>
          <w:p>
            <w:pPr>
              <w:spacing w:line="360" w:lineRule="auto"/>
              <w:rPr>
                <w:rFonts w:ascii="宋体"/>
                <w:color w:val="000000" w:themeColor="text1"/>
                <w:sz w:val="24"/>
                <w14:textFill>
                  <w14:solidFill>
                    <w14:schemeClr w14:val="tx1"/>
                  </w14:solidFill>
                </w14:textFill>
              </w:rPr>
            </w:pPr>
          </w:p>
        </w:tc>
        <w:tc>
          <w:tcPr>
            <w:tcW w:w="2835" w:type="dxa"/>
          </w:tcPr>
          <w:p>
            <w:pPr>
              <w:spacing w:line="360" w:lineRule="auto"/>
              <w:rPr>
                <w:rFonts w:ascii="宋体"/>
                <w:color w:val="000000" w:themeColor="text1"/>
                <w:sz w:val="24"/>
                <w14:textFill>
                  <w14:solidFill>
                    <w14:schemeClr w14:val="tx1"/>
                  </w14:solidFill>
                </w14:textFill>
              </w:rPr>
            </w:pPr>
          </w:p>
        </w:tc>
        <w:tc>
          <w:tcPr>
            <w:tcW w:w="952"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1624" w:type="dxa"/>
          </w:tcPr>
          <w:p>
            <w:pPr>
              <w:spacing w:line="360" w:lineRule="auto"/>
              <w:rPr>
                <w:rFonts w:ascii="宋体"/>
                <w:color w:val="000000" w:themeColor="text1"/>
                <w:sz w:val="24"/>
                <w14:textFill>
                  <w14:solidFill>
                    <w14:schemeClr w14:val="tx1"/>
                  </w14:solidFill>
                </w14:textFill>
              </w:rPr>
            </w:pPr>
          </w:p>
        </w:tc>
        <w:tc>
          <w:tcPr>
            <w:tcW w:w="2835" w:type="dxa"/>
          </w:tcPr>
          <w:p>
            <w:pPr>
              <w:spacing w:line="360" w:lineRule="auto"/>
              <w:rPr>
                <w:rFonts w:ascii="宋体"/>
                <w:color w:val="000000" w:themeColor="text1"/>
                <w:sz w:val="24"/>
                <w14:textFill>
                  <w14:solidFill>
                    <w14:schemeClr w14:val="tx1"/>
                  </w14:solidFill>
                </w14:textFill>
              </w:rPr>
            </w:pPr>
          </w:p>
        </w:tc>
        <w:tc>
          <w:tcPr>
            <w:tcW w:w="952"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1624" w:type="dxa"/>
          </w:tcPr>
          <w:p>
            <w:pPr>
              <w:spacing w:line="360" w:lineRule="auto"/>
              <w:rPr>
                <w:rFonts w:ascii="宋体"/>
                <w:color w:val="000000" w:themeColor="text1"/>
                <w:sz w:val="24"/>
                <w14:textFill>
                  <w14:solidFill>
                    <w14:schemeClr w14:val="tx1"/>
                  </w14:solidFill>
                </w14:textFill>
              </w:rPr>
            </w:pPr>
          </w:p>
        </w:tc>
        <w:tc>
          <w:tcPr>
            <w:tcW w:w="2835" w:type="dxa"/>
          </w:tcPr>
          <w:p>
            <w:pPr>
              <w:spacing w:line="360" w:lineRule="auto"/>
              <w:rPr>
                <w:rFonts w:ascii="宋体"/>
                <w:color w:val="000000" w:themeColor="text1"/>
                <w:sz w:val="24"/>
                <w14:textFill>
                  <w14:solidFill>
                    <w14:schemeClr w14:val="tx1"/>
                  </w14:solidFill>
                </w14:textFill>
              </w:rPr>
            </w:pPr>
          </w:p>
        </w:tc>
        <w:tc>
          <w:tcPr>
            <w:tcW w:w="952"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1624" w:type="dxa"/>
          </w:tcPr>
          <w:p>
            <w:pPr>
              <w:spacing w:line="360" w:lineRule="auto"/>
              <w:rPr>
                <w:rFonts w:ascii="宋体"/>
                <w:color w:val="000000" w:themeColor="text1"/>
                <w:sz w:val="24"/>
                <w14:textFill>
                  <w14:solidFill>
                    <w14:schemeClr w14:val="tx1"/>
                  </w14:solidFill>
                </w14:textFill>
              </w:rPr>
            </w:pPr>
          </w:p>
        </w:tc>
        <w:tc>
          <w:tcPr>
            <w:tcW w:w="2835" w:type="dxa"/>
          </w:tcPr>
          <w:p>
            <w:pPr>
              <w:spacing w:line="360" w:lineRule="auto"/>
              <w:rPr>
                <w:rFonts w:ascii="宋体"/>
                <w:color w:val="000000" w:themeColor="text1"/>
                <w:sz w:val="24"/>
                <w14:textFill>
                  <w14:solidFill>
                    <w14:schemeClr w14:val="tx1"/>
                  </w14:solidFill>
                </w14:textFill>
              </w:rPr>
            </w:pPr>
          </w:p>
        </w:tc>
        <w:tc>
          <w:tcPr>
            <w:tcW w:w="952"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2268" w:type="dxa"/>
            <w:gridSpan w:val="2"/>
            <w:vAlign w:val="center"/>
          </w:tcPr>
          <w:p>
            <w:pPr>
              <w:spacing w:line="360" w:lineRule="auto"/>
              <w:jc w:val="center"/>
              <w:rPr>
                <w:rFonts w:ascii="宋体"/>
                <w:b/>
                <w:color w:val="000000" w:themeColor="text1"/>
                <w:sz w:val="24"/>
                <w14:textFill>
                  <w14:solidFill>
                    <w14:schemeClr w14:val="tx1"/>
                  </w14:solidFill>
                </w14:textFill>
              </w:rPr>
            </w:pPr>
          </w:p>
        </w:tc>
        <w:tc>
          <w:tcPr>
            <w:tcW w:w="2835" w:type="dxa"/>
            <w:vAlign w:val="center"/>
          </w:tcPr>
          <w:p>
            <w:pPr>
              <w:spacing w:line="360" w:lineRule="auto"/>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3119" w:type="dxa"/>
            <w:gridSpan w:val="3"/>
            <w:vAlign w:val="center"/>
          </w:tcPr>
          <w:p>
            <w:pPr>
              <w:spacing w:line="360" w:lineRule="auto"/>
              <w:jc w:val="center"/>
              <w:rPr>
                <w:rFonts w:ascii="宋体"/>
                <w:b/>
                <w:color w:val="000000" w:themeColor="text1"/>
                <w:sz w:val="24"/>
                <w14:textFill>
                  <w14:solidFill>
                    <w14:schemeClr w14:val="tx1"/>
                  </w14:solidFill>
                </w14:textFill>
              </w:rPr>
            </w:pPr>
          </w:p>
        </w:tc>
        <w:tc>
          <w:tcPr>
            <w:tcW w:w="11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2242" w:type="dxa"/>
            <w:gridSpan w:val="2"/>
            <w:vAlign w:val="center"/>
          </w:tcPr>
          <w:p>
            <w:pPr>
              <w:spacing w:line="360" w:lineRule="auto"/>
              <w:jc w:val="center"/>
              <w:rPr>
                <w:rFonts w:ascii="宋体"/>
                <w:b/>
                <w:color w:val="000000" w:themeColor="text1"/>
                <w:sz w:val="24"/>
                <w14:textFill>
                  <w14:solidFill>
                    <w14:schemeClr w14:val="tx1"/>
                  </w14:solidFill>
                </w14:textFill>
              </w:rPr>
            </w:pPr>
          </w:p>
        </w:tc>
      </w:tr>
    </w:tbl>
    <w:p>
      <w:pPr>
        <w:spacing w:line="360" w:lineRule="auto"/>
        <w:rPr>
          <w:rFonts w:ascii="宋体"/>
          <w:color w:val="000000" w:themeColor="text1"/>
          <w:sz w:val="24"/>
          <w14:textFill>
            <w14:solidFill>
              <w14:schemeClr w14:val="tx1"/>
            </w14:solidFill>
          </w14:textFill>
        </w:rPr>
      </w:pPr>
    </w:p>
    <w:p>
      <w:pPr>
        <w:pStyle w:val="3"/>
        <w:rPr>
          <w:b w:val="0"/>
          <w:color w:val="000000" w:themeColor="text1"/>
          <w:sz w:val="21"/>
          <w:szCs w:val="21"/>
          <w14:textFill>
            <w14:solidFill>
              <w14:schemeClr w14:val="tx1"/>
            </w14:solidFill>
          </w14:textFill>
        </w:rPr>
      </w:pPr>
      <w:r>
        <w:rPr>
          <w:rFonts w:ascii="宋体"/>
          <w:color w:val="000000" w:themeColor="text1"/>
          <w:spacing w:val="4"/>
          <w:sz w:val="24"/>
          <w14:textFill>
            <w14:solidFill>
              <w14:schemeClr w14:val="tx1"/>
            </w14:solidFill>
          </w14:textFill>
        </w:rPr>
        <w:br w:type="page"/>
      </w:r>
      <w:bookmarkStart w:id="19" w:name="_Toc71711261"/>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3</w:t>
      </w:r>
      <w:r>
        <w:rPr>
          <w:rFonts w:hint="eastAsia"/>
          <w:b w:val="0"/>
          <w:color w:val="000000" w:themeColor="text1"/>
          <w:sz w:val="21"/>
          <w:szCs w:val="21"/>
          <w14:textFill>
            <w14:solidFill>
              <w14:schemeClr w14:val="tx1"/>
            </w14:solidFill>
          </w14:textFill>
        </w:rPr>
        <w:t>：配置清单及分项报价表</w:t>
      </w:r>
      <w:bookmarkEnd w:id="19"/>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配置清单及分项报价表</w:t>
      </w:r>
    </w:p>
    <w:tbl>
      <w:tblPr>
        <w:tblStyle w:val="28"/>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364" w:type="dxa"/>
            <w:gridSpan w:val="4"/>
            <w:vAlign w:val="center"/>
          </w:tcPr>
          <w:p>
            <w:pPr>
              <w:spacing w:line="360" w:lineRule="auto"/>
              <w:jc w:val="center"/>
              <w:rPr>
                <w:rFonts w:ascii="宋体"/>
                <w:b/>
                <w:color w:val="000000" w:themeColor="text1"/>
                <w:szCs w:val="21"/>
                <w14:textFill>
                  <w14:solidFill>
                    <w14:schemeClr w14:val="tx1"/>
                  </w14:solidFill>
                </w14:textFill>
              </w:rPr>
            </w:pPr>
          </w:p>
        </w:tc>
        <w:tc>
          <w:tcPr>
            <w:tcW w:w="1659"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625" w:type="dxa"/>
            <w:gridSpan w:val="3"/>
            <w:vAlign w:val="center"/>
          </w:tcPr>
          <w:p>
            <w:pPr>
              <w:spacing w:line="360" w:lineRule="auto"/>
              <w:jc w:val="center"/>
              <w:rPr>
                <w:rFonts w:asci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894" w:type="dxa"/>
            <w:gridSpan w:val="3"/>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主机（部件、配件等）名称</w:t>
            </w:r>
          </w:p>
        </w:tc>
        <w:tc>
          <w:tcPr>
            <w:tcW w:w="1739"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规格型号</w:t>
            </w:r>
          </w:p>
        </w:tc>
        <w:tc>
          <w:tcPr>
            <w:tcW w:w="2357"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生产厂商</w:t>
            </w:r>
          </w:p>
        </w:tc>
        <w:tc>
          <w:tcPr>
            <w:tcW w:w="683"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976"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货币</w:t>
            </w:r>
          </w:p>
        </w:tc>
        <w:tc>
          <w:tcPr>
            <w:tcW w:w="1191"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单价（元）</w:t>
            </w:r>
          </w:p>
        </w:tc>
        <w:tc>
          <w:tcPr>
            <w:tcW w:w="119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总价（元）</w:t>
            </w:r>
          </w:p>
        </w:tc>
        <w:tc>
          <w:tcPr>
            <w:tcW w:w="224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jc w:val="left"/>
              <w:rPr>
                <w:rFonts w:asci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3015" w:type="dxa"/>
            <w:gridSpan w:val="2"/>
            <w:vAlign w:val="center"/>
          </w:tcPr>
          <w:p>
            <w:pPr>
              <w:spacing w:line="360" w:lineRule="auto"/>
              <w:jc w:val="center"/>
              <w:rPr>
                <w:rFonts w:ascii="宋体"/>
                <w:b/>
                <w:color w:val="000000" w:themeColor="text1"/>
                <w:sz w:val="24"/>
                <w14:textFill>
                  <w14:solidFill>
                    <w14:schemeClr w14:val="tx1"/>
                  </w14:solidFill>
                </w14:textFill>
              </w:rPr>
            </w:pPr>
          </w:p>
        </w:tc>
        <w:tc>
          <w:tcPr>
            <w:tcW w:w="2357"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2850" w:type="dxa"/>
            <w:gridSpan w:val="3"/>
            <w:vAlign w:val="center"/>
          </w:tcPr>
          <w:p>
            <w:pPr>
              <w:spacing w:line="360" w:lineRule="auto"/>
              <w:jc w:val="center"/>
              <w:rPr>
                <w:rFonts w:ascii="宋体"/>
                <w:b/>
                <w:color w:val="000000" w:themeColor="text1"/>
                <w:sz w:val="24"/>
                <w14:textFill>
                  <w14:solidFill>
                    <w14:schemeClr w14:val="tx1"/>
                  </w14:solidFill>
                </w14:textFill>
              </w:rPr>
            </w:pPr>
          </w:p>
        </w:tc>
        <w:tc>
          <w:tcPr>
            <w:tcW w:w="11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2242" w:type="dxa"/>
            <w:vAlign w:val="center"/>
          </w:tcPr>
          <w:p>
            <w:pPr>
              <w:spacing w:line="360" w:lineRule="auto"/>
              <w:jc w:val="center"/>
              <w:rPr>
                <w:rFonts w:ascii="宋体"/>
                <w:b/>
                <w:color w:val="000000" w:themeColor="text1"/>
                <w:sz w:val="24"/>
                <w14:textFill>
                  <w14:solidFill>
                    <w14:schemeClr w14:val="tx1"/>
                  </w14:solidFill>
                </w14:textFill>
              </w:rPr>
            </w:pPr>
          </w:p>
        </w:tc>
      </w:tr>
    </w:tbl>
    <w:p>
      <w:pPr>
        <w:spacing w:line="360" w:lineRule="auto"/>
        <w:ind w:firstLine="480" w:firstLineChars="200"/>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pStyle w:val="3"/>
        <w:rPr>
          <w:b w:val="0"/>
          <w:color w:val="000000" w:themeColor="text1"/>
          <w:sz w:val="21"/>
          <w:szCs w:val="21"/>
          <w14:textFill>
            <w14:solidFill>
              <w14:schemeClr w14:val="tx1"/>
            </w14:solidFill>
          </w14:textFill>
        </w:rPr>
      </w:pPr>
      <w:bookmarkStart w:id="20" w:name="_Toc71711262"/>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4</w:t>
      </w:r>
      <w:r>
        <w:rPr>
          <w:rFonts w:hint="eastAsia"/>
          <w:b w:val="0"/>
          <w:color w:val="000000" w:themeColor="text1"/>
          <w:sz w:val="21"/>
          <w:szCs w:val="21"/>
          <w14:textFill>
            <w14:solidFill>
              <w14:schemeClr w14:val="tx1"/>
            </w14:solidFill>
          </w14:textFill>
        </w:rPr>
        <w:t>：技术规格响应</w:t>
      </w:r>
      <w:r>
        <w:rPr>
          <w:b w:val="0"/>
          <w:color w:val="000000" w:themeColor="text1"/>
          <w:sz w:val="21"/>
          <w:szCs w:val="21"/>
          <w14:textFill>
            <w14:solidFill>
              <w14:schemeClr w14:val="tx1"/>
            </w14:solidFill>
          </w14:textFill>
        </w:rPr>
        <w:t>/</w:t>
      </w:r>
      <w:r>
        <w:rPr>
          <w:rFonts w:hint="eastAsia"/>
          <w:b w:val="0"/>
          <w:color w:val="000000" w:themeColor="text1"/>
          <w:sz w:val="21"/>
          <w:szCs w:val="21"/>
          <w14:textFill>
            <w14:solidFill>
              <w14:schemeClr w14:val="tx1"/>
            </w14:solidFill>
          </w14:textFill>
        </w:rPr>
        <w:t>偏离表</w:t>
      </w:r>
      <w:bookmarkEnd w:id="20"/>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技术规格响应</w:t>
      </w:r>
      <w:r>
        <w:rPr>
          <w:rFonts w:ascii="宋体"/>
          <w:b/>
          <w:color w:val="000000" w:themeColor="text1"/>
          <w:sz w:val="36"/>
          <w:szCs w:val="36"/>
          <w14:textFill>
            <w14:solidFill>
              <w14:schemeClr w14:val="tx1"/>
            </w14:solidFill>
          </w14:textFill>
        </w:rPr>
        <w:t>/</w:t>
      </w:r>
      <w:r>
        <w:rPr>
          <w:rFonts w:hint="eastAsia" w:ascii="宋体"/>
          <w:b/>
          <w:color w:val="000000" w:themeColor="text1"/>
          <w:sz w:val="36"/>
          <w:szCs w:val="36"/>
          <w14:textFill>
            <w14:solidFill>
              <w14:schemeClr w14:val="tx1"/>
            </w14:solidFill>
          </w14:textFill>
        </w:rPr>
        <w:t>偏离表</w:t>
      </w:r>
    </w:p>
    <w:tbl>
      <w:tblPr>
        <w:tblStyle w:val="28"/>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520" w:type="dxa"/>
            <w:gridSpan w:val="3"/>
            <w:vAlign w:val="center"/>
          </w:tcPr>
          <w:p>
            <w:pPr>
              <w:ind w:left="-90"/>
              <w:jc w:val="center"/>
              <w:rPr>
                <w:rFonts w:ascii="宋体"/>
                <w:color w:val="000000" w:themeColor="text1"/>
                <w:kern w:val="0"/>
                <w:sz w:val="24"/>
                <w14:textFill>
                  <w14:solidFill>
                    <w14:schemeClr w14:val="tx1"/>
                  </w14:solidFill>
                </w14:textFill>
              </w:rPr>
            </w:pPr>
          </w:p>
        </w:tc>
        <w:tc>
          <w:tcPr>
            <w:tcW w:w="1418" w:type="dxa"/>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006" w:type="dxa"/>
            <w:vAlign w:val="center"/>
          </w:tcPr>
          <w:p>
            <w:pPr>
              <w:ind w:left="-90"/>
              <w:jc w:val="center"/>
              <w:rPr>
                <w:rFonts w:ascii="宋体"/>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3686"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招标规格</w:t>
            </w:r>
          </w:p>
        </w:tc>
        <w:tc>
          <w:tcPr>
            <w:tcW w:w="4252"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投标规格</w:t>
            </w:r>
          </w:p>
        </w:tc>
        <w:tc>
          <w:tcPr>
            <w:tcW w:w="1418"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响应</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偏离</w:t>
            </w:r>
          </w:p>
        </w:tc>
        <w:tc>
          <w:tcPr>
            <w:tcW w:w="4006"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right="-288" w:rightChars="-137"/>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2268" w:type="dxa"/>
            <w:vAlign w:val="center"/>
          </w:tcPr>
          <w:p>
            <w:pPr>
              <w:ind w:left="-90"/>
              <w:jc w:val="center"/>
              <w:rPr>
                <w:rFonts w:ascii="Mincho"/>
                <w:color w:val="000000" w:themeColor="text1"/>
                <w:kern w:val="0"/>
                <w:sz w:val="20"/>
                <w14:textFill>
                  <w14:solidFill>
                    <w14:schemeClr w14:val="tx1"/>
                  </w14:solidFill>
                </w14:textFill>
              </w:rPr>
            </w:pPr>
          </w:p>
        </w:tc>
        <w:tc>
          <w:tcPr>
            <w:tcW w:w="2693"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1559" w:type="dxa"/>
            <w:vAlign w:val="center"/>
          </w:tcPr>
          <w:p>
            <w:pPr>
              <w:ind w:left="-90"/>
              <w:jc w:val="center"/>
              <w:rPr>
                <w:rFonts w:ascii="Mincho"/>
                <w:color w:val="000000" w:themeColor="text1"/>
                <w:kern w:val="0"/>
                <w:sz w:val="20"/>
                <w14:textFill>
                  <w14:solidFill>
                    <w14:schemeClr w14:val="tx1"/>
                  </w14:solidFill>
                </w14:textFill>
              </w:rPr>
            </w:pPr>
          </w:p>
        </w:tc>
        <w:tc>
          <w:tcPr>
            <w:tcW w:w="1418"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4006" w:type="dxa"/>
            <w:vAlign w:val="center"/>
          </w:tcPr>
          <w:p>
            <w:pPr>
              <w:ind w:left="-90"/>
              <w:jc w:val="center"/>
              <w:rPr>
                <w:rFonts w:ascii="Mincho"/>
                <w:color w:val="000000" w:themeColor="text1"/>
                <w:kern w:val="0"/>
                <w:sz w:val="20"/>
                <w14:textFill>
                  <w14:solidFill>
                    <w14:schemeClr w14:val="tx1"/>
                  </w14:solidFill>
                </w14:textFill>
              </w:rPr>
            </w:pPr>
          </w:p>
        </w:tc>
      </w:tr>
    </w:tbl>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注：投标人应对照用户需求表中的技术规格，逐条核对所提供货物和服务是否做出了实质性的响应，有偏离的必须做出说明，对有具体参数要求的指标项，投标人必须提供本次投标货物的具体参数值。</w:t>
      </w:r>
    </w:p>
    <w:p>
      <w:pPr>
        <w:pStyle w:val="3"/>
        <w:rPr>
          <w:rFonts w:ascii="宋体"/>
          <w:b w:val="0"/>
          <w:color w:val="000000" w:themeColor="text1"/>
          <w:sz w:val="21"/>
          <w:szCs w:val="21"/>
          <w14:textFill>
            <w14:solidFill>
              <w14:schemeClr w14:val="tx1"/>
            </w14:solidFill>
          </w14:textFill>
        </w:rPr>
      </w:pPr>
      <w:r>
        <w:rPr>
          <w:color w:val="000000" w:themeColor="text1"/>
          <w14:textFill>
            <w14:solidFill>
              <w14:schemeClr w14:val="tx1"/>
            </w14:solidFill>
          </w14:textFill>
        </w:rPr>
        <w:br w:type="page"/>
      </w:r>
      <w:bookmarkStart w:id="21" w:name="_Toc71711263"/>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5</w:t>
      </w:r>
      <w:r>
        <w:rPr>
          <w:rFonts w:hint="eastAsia"/>
          <w:b w:val="0"/>
          <w:color w:val="000000" w:themeColor="text1"/>
          <w:sz w:val="21"/>
          <w:szCs w:val="21"/>
          <w14:textFill>
            <w14:solidFill>
              <w14:schemeClr w14:val="tx1"/>
            </w14:solidFill>
          </w14:textFill>
        </w:rPr>
        <w:t>：商务条款响应</w:t>
      </w:r>
      <w:r>
        <w:rPr>
          <w:b w:val="0"/>
          <w:color w:val="000000" w:themeColor="text1"/>
          <w:sz w:val="21"/>
          <w:szCs w:val="21"/>
          <w14:textFill>
            <w14:solidFill>
              <w14:schemeClr w14:val="tx1"/>
            </w14:solidFill>
          </w14:textFill>
        </w:rPr>
        <w:t>/</w:t>
      </w:r>
      <w:r>
        <w:rPr>
          <w:rFonts w:hint="eastAsia"/>
          <w:b w:val="0"/>
          <w:color w:val="000000" w:themeColor="text1"/>
          <w:sz w:val="21"/>
          <w:szCs w:val="21"/>
          <w14:textFill>
            <w14:solidFill>
              <w14:schemeClr w14:val="tx1"/>
            </w14:solidFill>
          </w14:textFill>
        </w:rPr>
        <w:t>偏离表</w:t>
      </w:r>
      <w:bookmarkEnd w:id="21"/>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商务条款响应</w:t>
      </w:r>
      <w:r>
        <w:rPr>
          <w:rFonts w:ascii="宋体"/>
          <w:b/>
          <w:color w:val="000000" w:themeColor="text1"/>
          <w:sz w:val="36"/>
          <w:szCs w:val="36"/>
          <w14:textFill>
            <w14:solidFill>
              <w14:schemeClr w14:val="tx1"/>
            </w14:solidFill>
          </w14:textFill>
        </w:rPr>
        <w:t>/</w:t>
      </w:r>
      <w:r>
        <w:rPr>
          <w:rFonts w:hint="eastAsia" w:ascii="宋体"/>
          <w:b/>
          <w:color w:val="000000" w:themeColor="text1"/>
          <w:sz w:val="36"/>
          <w:szCs w:val="36"/>
          <w14:textFill>
            <w14:solidFill>
              <w14:schemeClr w14:val="tx1"/>
            </w14:solidFill>
          </w14:textFill>
        </w:rPr>
        <w:t>偏离表</w:t>
      </w:r>
    </w:p>
    <w:tbl>
      <w:tblPr>
        <w:tblStyle w:val="28"/>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520" w:type="dxa"/>
            <w:gridSpan w:val="3"/>
            <w:vAlign w:val="center"/>
          </w:tcPr>
          <w:p>
            <w:pPr>
              <w:ind w:left="-90"/>
              <w:jc w:val="center"/>
              <w:rPr>
                <w:rFonts w:ascii="宋体"/>
                <w:color w:val="000000" w:themeColor="text1"/>
                <w:kern w:val="0"/>
                <w:sz w:val="24"/>
                <w14:textFill>
                  <w14:solidFill>
                    <w14:schemeClr w14:val="tx1"/>
                  </w14:solidFill>
                </w14:textFill>
              </w:rPr>
            </w:pPr>
          </w:p>
        </w:tc>
        <w:tc>
          <w:tcPr>
            <w:tcW w:w="1418" w:type="dxa"/>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006" w:type="dxa"/>
            <w:vAlign w:val="center"/>
          </w:tcPr>
          <w:p>
            <w:pPr>
              <w:ind w:left="-90"/>
              <w:jc w:val="center"/>
              <w:rPr>
                <w:rFonts w:ascii="宋体"/>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3686"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采购条款</w:t>
            </w:r>
          </w:p>
        </w:tc>
        <w:tc>
          <w:tcPr>
            <w:tcW w:w="4252"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投标条款</w:t>
            </w:r>
          </w:p>
        </w:tc>
        <w:tc>
          <w:tcPr>
            <w:tcW w:w="1418"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响应</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偏离</w:t>
            </w:r>
          </w:p>
        </w:tc>
        <w:tc>
          <w:tcPr>
            <w:tcW w:w="4006"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right="-288" w:rightChars="-137"/>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2268" w:type="dxa"/>
            <w:vAlign w:val="center"/>
          </w:tcPr>
          <w:p>
            <w:pPr>
              <w:ind w:left="-90"/>
              <w:jc w:val="center"/>
              <w:rPr>
                <w:rFonts w:ascii="Mincho"/>
                <w:color w:val="000000" w:themeColor="text1"/>
                <w:kern w:val="0"/>
                <w:sz w:val="20"/>
                <w14:textFill>
                  <w14:solidFill>
                    <w14:schemeClr w14:val="tx1"/>
                  </w14:solidFill>
                </w14:textFill>
              </w:rPr>
            </w:pPr>
          </w:p>
        </w:tc>
        <w:tc>
          <w:tcPr>
            <w:tcW w:w="2693"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1559" w:type="dxa"/>
            <w:vAlign w:val="center"/>
          </w:tcPr>
          <w:p>
            <w:pPr>
              <w:ind w:left="-90"/>
              <w:jc w:val="center"/>
              <w:rPr>
                <w:rFonts w:ascii="Mincho"/>
                <w:color w:val="000000" w:themeColor="text1"/>
                <w:kern w:val="0"/>
                <w:sz w:val="20"/>
                <w14:textFill>
                  <w14:solidFill>
                    <w14:schemeClr w14:val="tx1"/>
                  </w14:solidFill>
                </w14:textFill>
              </w:rPr>
            </w:pPr>
          </w:p>
        </w:tc>
        <w:tc>
          <w:tcPr>
            <w:tcW w:w="1418"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4006" w:type="dxa"/>
            <w:vAlign w:val="center"/>
          </w:tcPr>
          <w:p>
            <w:pPr>
              <w:ind w:left="-90"/>
              <w:jc w:val="center"/>
              <w:rPr>
                <w:rFonts w:ascii="Mincho"/>
                <w:color w:val="000000" w:themeColor="text1"/>
                <w:kern w:val="0"/>
                <w:sz w:val="20"/>
                <w14:textFill>
                  <w14:solidFill>
                    <w14:schemeClr w14:val="tx1"/>
                  </w14:solidFill>
                </w14:textFill>
              </w:rPr>
            </w:pPr>
          </w:p>
        </w:tc>
      </w:tr>
    </w:tbl>
    <w:p>
      <w:pPr>
        <w:spacing w:line="360" w:lineRule="auto"/>
        <w:ind w:firstLine="480" w:firstLineChars="200"/>
        <w:rPr>
          <w:rFonts w:ascii="宋体"/>
          <w:color w:val="000000" w:themeColor="text1"/>
          <w:spacing w:val="4"/>
          <w:sz w:val="24"/>
          <w14:textFill>
            <w14:solidFill>
              <w14:schemeClr w14:val="tx1"/>
            </w14:solidFill>
          </w14:textFill>
        </w:rPr>
        <w:sectPr>
          <w:pgSz w:w="16838" w:h="11906" w:orient="landscape"/>
          <w:pgMar w:top="1077" w:right="1440" w:bottom="1077" w:left="1440" w:header="851" w:footer="992" w:gutter="0"/>
          <w:cols w:space="425" w:num="1"/>
          <w:docGrid w:linePitch="312" w:charSpace="0"/>
        </w:sectPr>
      </w:pPr>
      <w:r>
        <w:rPr>
          <w:rFonts w:hint="eastAsia" w:ascii="宋体" w:hAnsi="宋体"/>
          <w:color w:val="000000" w:themeColor="text1"/>
          <w:sz w:val="24"/>
          <w14:textFill>
            <w14:solidFill>
              <w14:schemeClr w14:val="tx1"/>
            </w14:solidFill>
          </w14:textFill>
        </w:rPr>
        <w:t>注：投标人应对照采购文件的商务条款，逐条核对是否做出了实质性的响应，有偏离的必须做出说明。</w:t>
      </w:r>
    </w:p>
    <w:p>
      <w:pPr>
        <w:pStyle w:val="3"/>
        <w:rPr>
          <w:b w:val="0"/>
          <w:color w:val="000000" w:themeColor="text1"/>
          <w:sz w:val="21"/>
          <w:szCs w:val="21"/>
          <w14:textFill>
            <w14:solidFill>
              <w14:schemeClr w14:val="tx1"/>
            </w14:solidFill>
          </w14:textFill>
        </w:rPr>
      </w:pPr>
      <w:bookmarkStart w:id="22" w:name="_Toc71711264"/>
      <w:bookmarkStart w:id="23" w:name="_Toc24632184"/>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6</w:t>
      </w:r>
      <w:r>
        <w:rPr>
          <w:rFonts w:hint="eastAsia"/>
          <w:b w:val="0"/>
          <w:color w:val="000000" w:themeColor="text1"/>
          <w:sz w:val="21"/>
          <w:szCs w:val="21"/>
          <w14:textFill>
            <w14:solidFill>
              <w14:schemeClr w14:val="tx1"/>
            </w14:solidFill>
          </w14:textFill>
        </w:rPr>
        <w:t>：法定代表人资格证明</w:t>
      </w:r>
      <w:bookmarkEnd w:id="22"/>
      <w:bookmarkEnd w:id="23"/>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法定代表人资格证明</w:t>
      </w:r>
    </w:p>
    <w:p>
      <w:pPr>
        <w:spacing w:after="240" w:afterLines="100" w:line="480" w:lineRule="auto"/>
        <w:ind w:left="-136" w:right="-351" w:rightChars="-167"/>
        <w:rPr>
          <w:rFonts w:ascii="宋体" w:cs="宋体"/>
          <w:color w:val="000000" w:themeColor="text1"/>
          <w:kern w:val="0"/>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南通大学启东校区建设指挥部：</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姓名：</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性别：</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系我</w:t>
      </w:r>
      <w:r>
        <w:rPr>
          <w:color w:val="000000" w:themeColor="text1"/>
          <w:sz w:val="28"/>
          <w:szCs w:val="28"/>
          <w14:textFill>
            <w14:solidFill>
              <w14:schemeClr w14:val="tx1"/>
            </w14:solidFill>
          </w14:textFill>
        </w:rPr>
        <w:t>公司的</w:t>
      </w:r>
      <w:r>
        <w:rPr>
          <w:rFonts w:hint="eastAsia"/>
          <w:color w:val="000000" w:themeColor="text1"/>
          <w:sz w:val="28"/>
          <w:szCs w:val="28"/>
          <w14:textFill>
            <w14:solidFill>
              <w14:schemeClr w14:val="tx1"/>
            </w14:solidFill>
          </w14:textFill>
        </w:rPr>
        <w:t>法</w:t>
      </w:r>
      <w:r>
        <w:rPr>
          <w:rFonts w:hint="eastAsia" w:ascii="宋体" w:hAnsi="宋体" w:cs="宋体"/>
          <w:color w:val="000000" w:themeColor="text1"/>
          <w:kern w:val="0"/>
          <w:sz w:val="28"/>
          <w:szCs w:val="28"/>
          <w14:textFill>
            <w14:solidFill>
              <w14:schemeClr w14:val="tx1"/>
            </w14:solidFill>
          </w14:textFill>
        </w:rPr>
        <w:t>定代表人，</w:t>
      </w:r>
      <w:r>
        <w:rPr>
          <w:rFonts w:hint="eastAsia"/>
          <w:color w:val="000000" w:themeColor="text1"/>
          <w:sz w:val="28"/>
          <w:szCs w:val="28"/>
          <w14:textFill>
            <w14:solidFill>
              <w14:schemeClr w14:val="tx1"/>
            </w14:solidFill>
          </w14:textFill>
        </w:rPr>
        <w:t>参加南通大学</w:t>
      </w:r>
      <w:r>
        <w:rPr>
          <w:rFonts w:hint="eastAsia"/>
          <w:color w:val="000000" w:themeColor="text1"/>
          <w:sz w:val="28"/>
          <w:szCs w:val="28"/>
          <w:u w:val="single"/>
          <w14:textFill>
            <w14:solidFill>
              <w14:schemeClr w14:val="tx1"/>
            </w14:solidFill>
          </w14:textFill>
        </w:rPr>
        <w:t>（项目名称及编号）</w:t>
      </w:r>
      <w:r>
        <w:rPr>
          <w:rFonts w:hint="eastAsia"/>
          <w:color w:val="000000" w:themeColor="text1"/>
          <w:sz w:val="28"/>
          <w:szCs w:val="28"/>
          <w14:textFill>
            <w14:solidFill>
              <w14:schemeClr w14:val="tx1"/>
            </w14:solidFill>
          </w14:textFill>
        </w:rPr>
        <w:t>的投标，</w:t>
      </w:r>
      <w:r>
        <w:rPr>
          <w:rFonts w:hint="eastAsia" w:ascii="宋体" w:hAnsi="宋体" w:cs="宋体"/>
          <w:color w:val="000000" w:themeColor="text1"/>
          <w:kern w:val="0"/>
          <w:sz w:val="28"/>
          <w:szCs w:val="28"/>
          <w14:textFill>
            <w14:solidFill>
              <w14:schemeClr w14:val="tx1"/>
            </w14:solidFill>
          </w14:textFill>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特此证明。</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1" w:rightChars="-167"/>
        <w:rPr>
          <w:color w:val="000000" w:themeColor="text1"/>
          <w:sz w:val="28"/>
          <w:szCs w:val="28"/>
          <w14:textFill>
            <w14:solidFill>
              <w14:schemeClr w14:val="tx1"/>
            </w14:solidFill>
          </w14:textFill>
        </w:rPr>
      </w:pPr>
    </w:p>
    <w:p>
      <w:pPr>
        <w:pStyle w:val="3"/>
        <w:rPr>
          <w:b w:val="0"/>
          <w:color w:val="000000" w:themeColor="text1"/>
          <w:sz w:val="21"/>
          <w:szCs w:val="21"/>
          <w14:textFill>
            <w14:solidFill>
              <w14:schemeClr w14:val="tx1"/>
            </w14:solidFill>
          </w14:textFill>
        </w:rPr>
      </w:pPr>
      <w:bookmarkStart w:id="24" w:name="_Toc24632185"/>
      <w:bookmarkStart w:id="25" w:name="_Toc71711265"/>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3164205</wp:posOffset>
                </wp:positionH>
                <wp:positionV relativeFrom="paragraph">
                  <wp:posOffset>448945</wp:posOffset>
                </wp:positionV>
                <wp:extent cx="2905760" cy="1973580"/>
                <wp:effectExtent l="0" t="0" r="27940" b="26670"/>
                <wp:wrapNone/>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49.15pt;margin-top:35.35pt;height:155.4pt;width:228.8pt;z-index:251660288;mso-width-relative:page;mso-height-relative:page;" fillcolor="#FFFFFF" filled="t" stroked="t" coordsize="21600,21600" o:gfxdata="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8Vc3H9oAAAAKAQAADwAAAAAAAAABACAAAAAiAAAAZHJzL2Rvd25yZXYu&#10;eG1sUEsBAhQAFAAAAAgAh07iQCAMD1MyAgAAiAQAAA4AAAAAAAAAAQAgAAAAKQEAAGRycy9lMm9E&#10;b2MueG1sUEsFBgAAAAAGAAYAWQEAAM0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451485</wp:posOffset>
                </wp:positionV>
                <wp:extent cx="2905760" cy="1973580"/>
                <wp:effectExtent l="0" t="0" r="27940" b="26670"/>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2.6pt;margin-top:35.55pt;height:155.4pt;width:228.8pt;z-index:251659264;mso-width-relative:page;mso-height-relative:page;" fillcolor="#FFFFFF" filled="t" stroked="t" coordsize="21600,21600" o:gfxdata="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8hKy2QAAAAkBAAAPAAAAAAAAAAEAIAAAACIAAABkcnMvZG93bnJldi54&#10;bWxQSwECFAAUAAAACACHTuJAJgz8EjICAACIBAAADgAAAAAAAAABACAAAAAoAQAAZHJzL2Uyb0Rv&#10;Yy54bWxQSwUGAAAAAAYABgBZAQAAzAU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v:textbox>
              </v:shape>
            </w:pict>
          </mc:Fallback>
        </mc:AlternateContent>
      </w:r>
      <w:r>
        <w:rPr>
          <w:rFonts w:ascii="宋体"/>
          <w:b w:val="0"/>
          <w:bCs w:val="0"/>
          <w:color w:val="000000" w:themeColor="text1"/>
          <w:sz w:val="30"/>
          <w14:textFill>
            <w14:solidFill>
              <w14:schemeClr w14:val="tx1"/>
            </w14:solidFill>
          </w14:textFill>
        </w:rPr>
        <w:br w:type="page"/>
      </w:r>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7</w:t>
      </w:r>
      <w:r>
        <w:rPr>
          <w:rFonts w:hint="eastAsia"/>
          <w:b w:val="0"/>
          <w:color w:val="000000" w:themeColor="text1"/>
          <w:sz w:val="21"/>
          <w:szCs w:val="21"/>
          <w14:textFill>
            <w14:solidFill>
              <w14:schemeClr w14:val="tx1"/>
            </w14:solidFill>
          </w14:textFill>
        </w:rPr>
        <w:t>：法定代表人授权书</w:t>
      </w:r>
      <w:bookmarkEnd w:id="24"/>
      <w:bookmarkEnd w:id="25"/>
    </w:p>
    <w:p>
      <w:pPr>
        <w:spacing w:line="500" w:lineRule="exact"/>
        <w:ind w:right="32"/>
        <w:rPr>
          <w:rFonts w:ascii="楷体_GB2312" w:hAnsi="宋体" w:eastAsia="楷体_GB2312"/>
          <w:color w:val="000000" w:themeColor="text1"/>
          <w:sz w:val="22"/>
          <w:szCs w:val="22"/>
          <w14:textFill>
            <w14:solidFill>
              <w14:schemeClr w14:val="tx1"/>
            </w14:solidFill>
          </w14:textFill>
        </w:rPr>
      </w:pPr>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法定代表人授权书</w:t>
      </w:r>
    </w:p>
    <w:p>
      <w:pPr>
        <w:spacing w:line="480" w:lineRule="auto"/>
        <w:ind w:left="-137" w:right="-351" w:rightChars="-167"/>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南通大学启东校区建设指挥部：</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本授权书声明：我</w:t>
      </w:r>
      <w:r>
        <w:rPr>
          <w:rFonts w:hint="eastAsia"/>
          <w:color w:val="000000" w:themeColor="text1"/>
          <w:sz w:val="28"/>
          <w:szCs w:val="28"/>
          <w:u w:val="single"/>
          <w14:textFill>
            <w14:solidFill>
              <w14:schemeClr w14:val="tx1"/>
            </w14:solidFill>
          </w14:textFill>
        </w:rPr>
        <w:t>（法定代表人姓名）</w:t>
      </w:r>
      <w:r>
        <w:rPr>
          <w:rFonts w:hint="eastAsia"/>
          <w:color w:val="000000" w:themeColor="text1"/>
          <w:sz w:val="28"/>
          <w:szCs w:val="28"/>
          <w14:textFill>
            <w14:solidFill>
              <w14:schemeClr w14:val="tx1"/>
            </w14:solidFill>
          </w14:textFill>
        </w:rPr>
        <w:t>系</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（单位名称） </w:t>
      </w:r>
      <w:r>
        <w:rPr>
          <w:rFonts w:hint="eastAsia" w:ascii="宋体" w:hAnsi="宋体" w:cs="宋体"/>
          <w:color w:val="000000" w:themeColor="text1"/>
          <w:kern w:val="0"/>
          <w:sz w:val="28"/>
          <w:szCs w:val="28"/>
          <w14:textFill>
            <w14:solidFill>
              <w14:schemeClr w14:val="tx1"/>
            </w14:solidFill>
          </w14:textFill>
        </w:rPr>
        <w:t>的法定代表人，现</w:t>
      </w:r>
      <w:r>
        <w:rPr>
          <w:rFonts w:hint="eastAsia"/>
          <w:color w:val="000000" w:themeColor="text1"/>
          <w:sz w:val="28"/>
          <w:szCs w:val="28"/>
          <w14:textFill>
            <w14:solidFill>
              <w14:schemeClr w14:val="tx1"/>
            </w14:solidFill>
          </w14:textFill>
        </w:rPr>
        <w:t>代表本公司授权</w:t>
      </w:r>
      <w:r>
        <w:rPr>
          <w:rFonts w:hint="eastAsia"/>
          <w:color w:val="000000" w:themeColor="text1"/>
          <w:sz w:val="28"/>
          <w:szCs w:val="28"/>
          <w:u w:val="single"/>
          <w14:textFill>
            <w14:solidFill>
              <w14:schemeClr w14:val="tx1"/>
            </w14:solidFill>
          </w14:textFill>
        </w:rPr>
        <w:t>（单位名称）</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的</w:t>
      </w:r>
      <w:r>
        <w:rPr>
          <w:color w:val="000000" w:themeColor="text1"/>
          <w:sz w:val="28"/>
          <w:szCs w:val="28"/>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（被授权人的姓名）</w:t>
      </w:r>
      <w:r>
        <w:rPr>
          <w:color w:val="000000" w:themeColor="text1"/>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为本公司的合法代理人，参加南通大学</w:t>
      </w:r>
      <w:r>
        <w:rPr>
          <w:rFonts w:hint="eastAsia"/>
          <w:color w:val="000000" w:themeColor="text1"/>
          <w:sz w:val="28"/>
          <w:szCs w:val="28"/>
          <w:u w:val="single"/>
          <w14:textFill>
            <w14:solidFill>
              <w14:schemeClr w14:val="tx1"/>
            </w14:solidFill>
          </w14:textFill>
        </w:rPr>
        <w:t>（项目名称及编号）</w:t>
      </w:r>
      <w:r>
        <w:rPr>
          <w:rFonts w:hint="eastAsia"/>
          <w:color w:val="000000" w:themeColor="text1"/>
          <w:sz w:val="28"/>
          <w:szCs w:val="28"/>
          <w14:textFill>
            <w14:solidFill>
              <w14:schemeClr w14:val="tx1"/>
            </w14:solidFill>
          </w14:textFill>
        </w:rPr>
        <w:t>的投标，</w:t>
      </w:r>
      <w:r>
        <w:rPr>
          <w:rFonts w:hint="eastAsia" w:ascii="宋体" w:hAnsi="宋体" w:cs="宋体"/>
          <w:color w:val="000000" w:themeColor="text1"/>
          <w:kern w:val="0"/>
          <w:sz w:val="28"/>
          <w:szCs w:val="28"/>
          <w14:textFill>
            <w14:solidFill>
              <w14:schemeClr w14:val="tx1"/>
            </w14:solidFill>
          </w14:textFill>
        </w:rPr>
        <w:t>代表本公司签署投标文件、进行</w:t>
      </w:r>
      <w:r>
        <w:rPr>
          <w:rFonts w:hint="eastAsia"/>
          <w:color w:val="000000" w:themeColor="text1"/>
          <w:sz w:val="28"/>
          <w:szCs w:val="28"/>
          <w14:textFill>
            <w14:solidFill>
              <w14:schemeClr w14:val="tx1"/>
            </w14:solidFill>
          </w14:textFill>
        </w:rPr>
        <w:t>谈判、签订合同和处理与之有关的一切事务。</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本授权书于</w:t>
      </w:r>
      <w:r>
        <w:rPr>
          <w:color w:val="000000" w:themeColor="text1"/>
          <w:sz w:val="28"/>
          <w:szCs w:val="28"/>
          <w14:textFill>
            <w14:solidFill>
              <w14:schemeClr w14:val="tx1"/>
            </w14:solidFill>
          </w14:textFill>
        </w:rPr>
        <w:t>_______</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日签字生效。</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法定代表人签字：</w:t>
      </w:r>
      <w:r>
        <w:rPr>
          <w:color w:val="000000" w:themeColor="text1"/>
          <w:sz w:val="28"/>
          <w:szCs w:val="28"/>
          <w14:textFill>
            <w14:solidFill>
              <w14:schemeClr w14:val="tx1"/>
            </w14:solidFill>
          </w14:textFill>
        </w:rPr>
        <w:t>__________________</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被授权人签字：</w:t>
      </w:r>
      <w:r>
        <w:rPr>
          <w:color w:val="000000" w:themeColor="text1"/>
          <w:sz w:val="28"/>
          <w:szCs w:val="28"/>
          <w14:textFill>
            <w14:solidFill>
              <w14:schemeClr w14:val="tx1"/>
            </w14:solidFill>
          </w14:textFill>
        </w:rPr>
        <w:t>____________________</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1" w:rightChars="-167"/>
        <w:jc w:val="cente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2746375</wp:posOffset>
                </wp:positionH>
                <wp:positionV relativeFrom="paragraph">
                  <wp:posOffset>193675</wp:posOffset>
                </wp:positionV>
                <wp:extent cx="2543810" cy="2179320"/>
                <wp:effectExtent l="0" t="0" r="27940" b="11430"/>
                <wp:wrapNone/>
                <wp:docPr id="14"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16.25pt;margin-top:15.25pt;height:171.6pt;width:200.3pt;z-index:251661312;mso-width-relative:page;mso-height-relative:page;" fillcolor="#FFFFFF" filled="t" stroked="t" coordsize="21600,21600" o:gfxdata="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aYQq2QAAAAoBAAAPAAAAAAAAAAEAIAAAACIAAABkcnMvZG93bnJldi54&#10;bWxQSwECFAAUAAAACACHTuJAx+FRWjICAACIBAAADgAAAAAAAAABACAAAAAoAQAAZHJzL2Uyb0Rv&#10;Yy54bWxQSwUGAAAAAAYABgBZAQAAz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195580</wp:posOffset>
                </wp:positionV>
                <wp:extent cx="2543810" cy="2179320"/>
                <wp:effectExtent l="0" t="0" r="27940" b="11430"/>
                <wp:wrapNone/>
                <wp:docPr id="1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75pt;margin-top:15.4pt;height:171.6pt;width:200.3pt;z-index:251660288;mso-width-relative:page;mso-height-relative:page;" fillcolor="#FFFFFF" filled="t" stroked="t" coordsize="21600,21600" o:gfxdata="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9P/kXYAAAACAEAAA8AAAAAAAAAAQAgAAAAIgAAAGRycy9kb3ducmV2Lnht&#10;bFBLAQIUABQAAAAIAIdO4kDJ4ebmMgIAAIgEAAAOAAAAAAAAAAEAIAAAACcBAABkcnMvZTJvRG9j&#10;LnhtbFBLBQYAAAAABgAGAFkBAADL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jc w:val="center"/>
        <w:rPr>
          <w:color w:val="000000" w:themeColor="text1"/>
          <w:sz w:val="28"/>
          <w:szCs w:val="28"/>
          <w14:textFill>
            <w14:solidFill>
              <w14:schemeClr w14:val="tx1"/>
            </w14:solidFill>
          </w14:textFill>
        </w:rPr>
      </w:pPr>
    </w:p>
    <w:p>
      <w:pPr>
        <w:spacing w:line="360" w:lineRule="auto"/>
        <w:ind w:right="-351" w:rightChars="-167"/>
        <w:jc w:val="center"/>
        <w:rPr>
          <w:color w:val="000000" w:themeColor="text1"/>
          <w:sz w:val="28"/>
          <w:szCs w:val="28"/>
          <w14:textFill>
            <w14:solidFill>
              <w14:schemeClr w14:val="tx1"/>
            </w14:solidFill>
          </w14:textFill>
        </w:rPr>
      </w:pPr>
    </w:p>
    <w:p>
      <w:pPr>
        <w:spacing w:line="360" w:lineRule="auto"/>
        <w:ind w:right="-351" w:rightChars="-167"/>
        <w:jc w:val="center"/>
        <w:rPr>
          <w:color w:val="000000" w:themeColor="text1"/>
          <w:sz w:val="28"/>
          <w:szCs w:val="28"/>
          <w14:textFill>
            <w14:solidFill>
              <w14:schemeClr w14:val="tx1"/>
            </w14:solidFill>
          </w14:textFill>
        </w:rPr>
      </w:pPr>
    </w:p>
    <w:p>
      <w:pPr>
        <w:pStyle w:val="57"/>
        <w:shd w:val="clear" w:color="auto" w:fill="FFFFFF"/>
        <w:spacing w:before="0" w:beforeAutospacing="0" w:after="0" w:afterAutospacing="0" w:line="216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注：“法定代表人”直接参加投标和签署投标文件的无需提供该授权书。</w:t>
      </w:r>
    </w:p>
    <w:p>
      <w:pPr>
        <w:spacing w:line="360" w:lineRule="auto"/>
        <w:rPr>
          <w:rFonts w:ascii="宋体" w:hAnsi="宋体"/>
          <w:color w:val="000000" w:themeColor="text1"/>
          <w:spacing w:val="4"/>
          <w:sz w:val="24"/>
          <w14:textFill>
            <w14:solidFill>
              <w14:schemeClr w14:val="tx1"/>
            </w14:solidFill>
          </w14:textFill>
        </w:rPr>
      </w:pPr>
    </w:p>
    <w:p>
      <w:pPr>
        <w:pStyle w:val="3"/>
        <w:rPr>
          <w:b w:val="0"/>
          <w:color w:val="000000" w:themeColor="text1"/>
          <w:sz w:val="21"/>
          <w:szCs w:val="21"/>
          <w14:textFill>
            <w14:solidFill>
              <w14:schemeClr w14:val="tx1"/>
            </w14:solidFill>
          </w14:textFill>
        </w:rPr>
      </w:pPr>
      <w:r>
        <w:rPr>
          <w:rFonts w:ascii="黑体" w:hAnsi="黑体" w:eastAsia="黑体" w:cs="宋体"/>
          <w:b w:val="0"/>
          <w:color w:val="000000" w:themeColor="text1"/>
          <w:kern w:val="0"/>
          <w:sz w:val="24"/>
          <w14:textFill>
            <w14:solidFill>
              <w14:schemeClr w14:val="tx1"/>
            </w14:solidFill>
          </w14:textFill>
        </w:rPr>
        <w:br w:type="page"/>
      </w:r>
      <w:bookmarkStart w:id="26" w:name="_Toc71711266"/>
      <w:r>
        <w:rPr>
          <w:rFonts w:hint="eastAsia"/>
          <w:b w:val="0"/>
          <w:color w:val="000000" w:themeColor="text1"/>
          <w:sz w:val="21"/>
          <w:szCs w:val="21"/>
          <w14:textFill>
            <w14:solidFill>
              <w14:schemeClr w14:val="tx1"/>
            </w14:solidFill>
          </w14:textFill>
        </w:rPr>
        <w:t>附件8：无重大违法记录声明</w:t>
      </w:r>
      <w:bookmarkEnd w:id="26"/>
    </w:p>
    <w:p>
      <w:pPr>
        <w:pStyle w:val="54"/>
        <w:rPr>
          <w:b/>
          <w:color w:val="000000" w:themeColor="text1"/>
          <w:sz w:val="30"/>
          <w:szCs w:val="30"/>
          <w14:textFill>
            <w14:solidFill>
              <w14:schemeClr w14:val="tx1"/>
            </w14:solidFill>
          </w14:textFill>
        </w:rPr>
      </w:pPr>
    </w:p>
    <w:p>
      <w:pPr>
        <w:pStyle w:val="54"/>
        <w:rPr>
          <w:b/>
          <w:color w:val="000000" w:themeColor="text1"/>
          <w:sz w:val="30"/>
          <w:szCs w:val="30"/>
          <w14:textFill>
            <w14:solidFill>
              <w14:schemeClr w14:val="tx1"/>
            </w14:solidFill>
          </w14:textFill>
        </w:rPr>
      </w:pPr>
    </w:p>
    <w:p>
      <w:pPr>
        <w:pStyle w:val="54"/>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无重大违法记录声明</w:t>
      </w:r>
    </w:p>
    <w:p>
      <w:pPr>
        <w:pStyle w:val="54"/>
        <w:rPr>
          <w:b/>
          <w:color w:val="000000" w:themeColor="text1"/>
          <w:sz w:val="30"/>
          <w:szCs w:val="30"/>
          <w14:textFill>
            <w14:solidFill>
              <w14:schemeClr w14:val="tx1"/>
            </w14:solidFill>
          </w14:textFill>
        </w:rPr>
      </w:pPr>
    </w:p>
    <w:p>
      <w:pPr>
        <w:pStyle w:val="54"/>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南通大学启东建设指挥部：</w:t>
      </w:r>
    </w:p>
    <w:p>
      <w:pPr>
        <w:pStyle w:val="54"/>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我单位</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（供应商名称）参加本次采购活动前3年内在经营活动中</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（有或没有）重大违法记录。</w:t>
      </w:r>
    </w:p>
    <w:p>
      <w:pPr>
        <w:pStyle w:val="54"/>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pStyle w:val="54"/>
        <w:spacing w:line="360" w:lineRule="auto"/>
        <w:ind w:firstLine="540"/>
        <w:rPr>
          <w:color w:val="000000" w:themeColor="text1"/>
          <w:sz w:val="28"/>
          <w:szCs w:val="28"/>
          <w14:textFill>
            <w14:solidFill>
              <w14:schemeClr w14:val="tx1"/>
            </w14:solidFill>
          </w14:textFill>
        </w:rPr>
      </w:pPr>
    </w:p>
    <w:p>
      <w:pPr>
        <w:pStyle w:val="54"/>
        <w:spacing w:line="360" w:lineRule="auto"/>
        <w:ind w:firstLine="540"/>
        <w:rPr>
          <w:color w:val="000000" w:themeColor="text1"/>
          <w:sz w:val="28"/>
          <w:szCs w:val="28"/>
          <w14:textFill>
            <w14:solidFill>
              <w14:schemeClr w14:val="tx1"/>
            </w14:solidFill>
          </w14:textFill>
        </w:rPr>
      </w:pPr>
    </w:p>
    <w:p>
      <w:pPr>
        <w:pStyle w:val="54"/>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声明人：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（盖章）</w:t>
      </w:r>
    </w:p>
    <w:p>
      <w:pPr>
        <w:pStyle w:val="54"/>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年     月     日</w:t>
      </w:r>
    </w:p>
    <w:p>
      <w:pPr>
        <w:pStyle w:val="54"/>
        <w:ind w:firstLine="540"/>
        <w:rPr>
          <w:color w:val="000000" w:themeColor="text1"/>
          <w:sz w:val="28"/>
          <w:szCs w:val="28"/>
          <w14:textFill>
            <w14:solidFill>
              <w14:schemeClr w14:val="tx1"/>
            </w14:solidFill>
          </w14:textFill>
        </w:rPr>
      </w:pPr>
    </w:p>
    <w:p>
      <w:pPr>
        <w:pStyle w:val="54"/>
        <w:ind w:firstLine="540"/>
        <w:rPr>
          <w:color w:val="000000" w:themeColor="text1"/>
          <w:sz w:val="28"/>
          <w:szCs w:val="28"/>
          <w14:textFill>
            <w14:solidFill>
              <w14:schemeClr w14:val="tx1"/>
            </w14:solidFill>
          </w14:textFill>
        </w:rPr>
      </w:pPr>
    </w:p>
    <w:p>
      <w:pPr>
        <w:pStyle w:val="54"/>
        <w:ind w:firstLine="540"/>
        <w:rPr>
          <w:color w:val="000000" w:themeColor="text1"/>
          <w:sz w:val="28"/>
          <w:szCs w:val="28"/>
          <w14:textFill>
            <w14:solidFill>
              <w14:schemeClr w14:val="tx1"/>
            </w14:solidFill>
          </w14:textFill>
        </w:rPr>
      </w:pPr>
    </w:p>
    <w:p>
      <w:pPr>
        <w:widowControl/>
        <w:jc w:val="left"/>
        <w:rPr>
          <w:rFonts w:ascii="Helvetica" w:hAnsi="Helvetica" w:cs="Helvetica"/>
          <w:color w:val="000000" w:themeColor="text1"/>
          <w:kern w:val="0"/>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pStyle w:val="3"/>
        <w:rPr>
          <w:b w:val="0"/>
          <w:color w:val="000000" w:themeColor="text1"/>
          <w:sz w:val="21"/>
          <w:szCs w:val="21"/>
          <w14:textFill>
            <w14:solidFill>
              <w14:schemeClr w14:val="tx1"/>
            </w14:solidFill>
          </w14:textFill>
        </w:rPr>
      </w:pPr>
      <w:bookmarkStart w:id="27" w:name="_Toc50642505"/>
      <w:bookmarkStart w:id="28" w:name="_Toc52798262"/>
      <w:bookmarkStart w:id="29" w:name="_Toc53153324"/>
      <w:bookmarkStart w:id="30" w:name="_Toc51598429"/>
      <w:bookmarkStart w:id="31" w:name="_Toc49847306"/>
      <w:bookmarkStart w:id="32" w:name="_Toc71711267"/>
      <w:bookmarkStart w:id="33" w:name="_Toc50645819"/>
      <w:r>
        <w:rPr>
          <w:rFonts w:hint="eastAsia"/>
          <w:b w:val="0"/>
          <w:color w:val="000000" w:themeColor="text1"/>
          <w:sz w:val="21"/>
          <w:szCs w:val="21"/>
          <w14:textFill>
            <w14:solidFill>
              <w14:schemeClr w14:val="tx1"/>
            </w14:solidFill>
          </w14:textFill>
        </w:rPr>
        <w:t>附件9：诚信承诺书</w:t>
      </w:r>
      <w:bookmarkEnd w:id="27"/>
      <w:bookmarkEnd w:id="28"/>
      <w:bookmarkEnd w:id="29"/>
      <w:bookmarkEnd w:id="30"/>
      <w:bookmarkEnd w:id="31"/>
      <w:bookmarkEnd w:id="32"/>
      <w:bookmarkEnd w:id="33"/>
    </w:p>
    <w:p>
      <w:pPr>
        <w:pStyle w:val="54"/>
        <w:jc w:val="center"/>
        <w:rPr>
          <w:b/>
          <w:color w:val="000000" w:themeColor="text1"/>
          <w:sz w:val="44"/>
          <w:szCs w:val="44"/>
          <w14:textFill>
            <w14:solidFill>
              <w14:schemeClr w14:val="tx1"/>
            </w14:solidFill>
          </w14:textFill>
        </w:rPr>
      </w:pPr>
    </w:p>
    <w:p>
      <w:pPr>
        <w:pStyle w:val="54"/>
        <w:spacing w:line="360" w:lineRule="auto"/>
        <w:jc w:val="center"/>
        <w:rPr>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诚信承诺书</w:t>
      </w:r>
    </w:p>
    <w:p>
      <w:pPr>
        <w:pStyle w:val="54"/>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南通大学启东校区建设指挥部：</w:t>
      </w:r>
    </w:p>
    <w:p>
      <w:pPr>
        <w:pStyle w:val="54"/>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我公司未被“信用中国”网站、中华人民共和国最高人民法院网站列入信用记录失信被执行人，未被中国政府采购网列入政府采购严重失信行为记录名单，未被国家企业信用公示系统列入经营异常名录、严重违法失信企业名单，未被</w:t>
      </w:r>
      <w:r>
        <w:rPr>
          <w:color w:val="000000" w:themeColor="text1"/>
          <w:sz w:val="28"/>
          <w:szCs w:val="28"/>
          <w14:textFill>
            <w14:solidFill>
              <w14:schemeClr w14:val="tx1"/>
            </w14:solidFill>
          </w14:textFill>
        </w:rPr>
        <w:t>全国公共资源交易平台列入黑名单。</w:t>
      </w:r>
    </w:p>
    <w:p>
      <w:pPr>
        <w:pStyle w:val="54"/>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如果我公司经本项目评标委员会评定为中标候选人，在公示期间被他人举报并经核实，确认我公司违反以上承诺内容之一，则我公司自动放弃成交资格，三年内不参加贵单位任何经济活动。</w:t>
      </w:r>
    </w:p>
    <w:p>
      <w:pPr>
        <w:pStyle w:val="54"/>
        <w:spacing w:line="360" w:lineRule="auto"/>
        <w:ind w:firstLine="540"/>
        <w:rPr>
          <w:color w:val="000000" w:themeColor="text1"/>
          <w:sz w:val="28"/>
          <w:szCs w:val="28"/>
          <w14:textFill>
            <w14:solidFill>
              <w14:schemeClr w14:val="tx1"/>
            </w14:solidFill>
          </w14:textFill>
        </w:rPr>
      </w:pPr>
    </w:p>
    <w:p>
      <w:pPr>
        <w:pStyle w:val="54"/>
        <w:spacing w:line="360" w:lineRule="auto"/>
        <w:ind w:firstLine="540"/>
        <w:rPr>
          <w:color w:val="000000" w:themeColor="text1"/>
          <w:sz w:val="28"/>
          <w:szCs w:val="28"/>
          <w14:textFill>
            <w14:solidFill>
              <w14:schemeClr w14:val="tx1"/>
            </w14:solidFill>
          </w14:textFill>
        </w:rPr>
      </w:pPr>
    </w:p>
    <w:p>
      <w:pPr>
        <w:pStyle w:val="54"/>
        <w:spacing w:line="360" w:lineRule="auto"/>
        <w:ind w:firstLine="540"/>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 xml:space="preserve">                  投标人（盖章）:</w:t>
      </w:r>
      <w:r>
        <w:rPr>
          <w:rFonts w:hint="eastAsia"/>
          <w:color w:val="000000" w:themeColor="text1"/>
          <w:sz w:val="28"/>
          <w:szCs w:val="28"/>
          <w:u w:val="single"/>
          <w14:textFill>
            <w14:solidFill>
              <w14:schemeClr w14:val="tx1"/>
            </w14:solidFill>
          </w14:textFill>
        </w:rPr>
        <w:t xml:space="preserve">               </w:t>
      </w:r>
    </w:p>
    <w:p>
      <w:pPr>
        <w:pStyle w:val="54"/>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法定代表人或被授权代表人（签字）：</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p>
      <w:pPr>
        <w:pStyle w:val="54"/>
        <w:spacing w:line="360" w:lineRule="auto"/>
        <w:ind w:firstLine="540"/>
        <w:rPr>
          <w:color w:val="000000" w:themeColor="text1"/>
          <w:sz w:val="28"/>
          <w:szCs w:val="28"/>
          <w14:textFill>
            <w14:solidFill>
              <w14:schemeClr w14:val="tx1"/>
            </w14:solidFill>
          </w14:textFill>
        </w:rPr>
      </w:pPr>
    </w:p>
    <w:p>
      <w:pPr>
        <w:pStyle w:val="54"/>
        <w:spacing w:line="360" w:lineRule="auto"/>
        <w:ind w:firstLine="540"/>
        <w:rPr>
          <w:color w:val="000000" w:themeColor="text1"/>
          <w:sz w:val="28"/>
          <w:szCs w:val="28"/>
          <w14:textFill>
            <w14:solidFill>
              <w14:schemeClr w14:val="tx1"/>
            </w14:solidFill>
          </w14:textFill>
        </w:rPr>
      </w:pPr>
    </w:p>
    <w:p>
      <w:pPr>
        <w:pStyle w:val="54"/>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年    月    日</w:t>
      </w:r>
    </w:p>
    <w:p>
      <w:pPr>
        <w:rPr>
          <w:color w:val="000000" w:themeColor="text1"/>
          <w14:textFill>
            <w14:solidFill>
              <w14:schemeClr w14:val="tx1"/>
            </w14:solidFill>
          </w14:textFill>
        </w:rPr>
      </w:pPr>
    </w:p>
    <w:sectPr>
      <w:pgSz w:w="11906" w:h="16838"/>
      <w:pgMar w:top="1440" w:right="1077" w:bottom="1440" w:left="107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Adobe 黑体 Std R">
    <w:altName w:val="微软雅黑"/>
    <w:panose1 w:val="00000000000000000000"/>
    <w:charset w:val="86"/>
    <w:family w:val="swiss"/>
    <w:pitch w:val="default"/>
    <w:sig w:usb0="00000000" w:usb1="00000000" w:usb2="00000016" w:usb3="00000000" w:csb0="00060007" w:csb1="00000000"/>
  </w:font>
  <w:font w:name="Mincho">
    <w:altName w:val="Yu Gothic UI"/>
    <w:panose1 w:val="02020609040305080305"/>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23</w:t>
    </w:r>
    <w:r>
      <w:rPr>
        <w:rStyle w:val="32"/>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341173"/>
    <w:multiLevelType w:val="multilevel"/>
    <w:tmpl w:val="79341173"/>
    <w:lvl w:ilvl="0" w:tentative="0">
      <w:start w:val="3"/>
      <w:numFmt w:val="decimal"/>
      <w:lvlText w:val="（%1）"/>
      <w:lvlJc w:val="left"/>
      <w:pPr>
        <w:ind w:left="1200" w:hanging="72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A8"/>
    <w:rsid w:val="000004F9"/>
    <w:rsid w:val="00000501"/>
    <w:rsid w:val="00001867"/>
    <w:rsid w:val="00002648"/>
    <w:rsid w:val="00003421"/>
    <w:rsid w:val="00003D54"/>
    <w:rsid w:val="00004346"/>
    <w:rsid w:val="00004DBF"/>
    <w:rsid w:val="0000566B"/>
    <w:rsid w:val="00006484"/>
    <w:rsid w:val="00006C9F"/>
    <w:rsid w:val="0000725E"/>
    <w:rsid w:val="0001169F"/>
    <w:rsid w:val="000121DE"/>
    <w:rsid w:val="00012689"/>
    <w:rsid w:val="000147DD"/>
    <w:rsid w:val="00017DEE"/>
    <w:rsid w:val="0002312F"/>
    <w:rsid w:val="000234F6"/>
    <w:rsid w:val="000239CA"/>
    <w:rsid w:val="00023B74"/>
    <w:rsid w:val="00024DA7"/>
    <w:rsid w:val="00025007"/>
    <w:rsid w:val="0002793A"/>
    <w:rsid w:val="00031709"/>
    <w:rsid w:val="00031B24"/>
    <w:rsid w:val="00032D17"/>
    <w:rsid w:val="00033F48"/>
    <w:rsid w:val="00034303"/>
    <w:rsid w:val="000351C0"/>
    <w:rsid w:val="00035813"/>
    <w:rsid w:val="00036005"/>
    <w:rsid w:val="00041BCB"/>
    <w:rsid w:val="00041FEE"/>
    <w:rsid w:val="00042A55"/>
    <w:rsid w:val="000434FE"/>
    <w:rsid w:val="000443C4"/>
    <w:rsid w:val="00044B37"/>
    <w:rsid w:val="00045790"/>
    <w:rsid w:val="000464A4"/>
    <w:rsid w:val="000465BB"/>
    <w:rsid w:val="00046E5B"/>
    <w:rsid w:val="0004737D"/>
    <w:rsid w:val="00047E03"/>
    <w:rsid w:val="00051925"/>
    <w:rsid w:val="00053728"/>
    <w:rsid w:val="000568DD"/>
    <w:rsid w:val="00056FFE"/>
    <w:rsid w:val="000576C7"/>
    <w:rsid w:val="00060724"/>
    <w:rsid w:val="00062561"/>
    <w:rsid w:val="00066248"/>
    <w:rsid w:val="00066555"/>
    <w:rsid w:val="0007344D"/>
    <w:rsid w:val="00073986"/>
    <w:rsid w:val="00075DD3"/>
    <w:rsid w:val="00076040"/>
    <w:rsid w:val="000767E7"/>
    <w:rsid w:val="00080C05"/>
    <w:rsid w:val="000838F9"/>
    <w:rsid w:val="00087074"/>
    <w:rsid w:val="0008770B"/>
    <w:rsid w:val="000919DC"/>
    <w:rsid w:val="000929F8"/>
    <w:rsid w:val="00093C37"/>
    <w:rsid w:val="000A0948"/>
    <w:rsid w:val="000A14CD"/>
    <w:rsid w:val="000A3FA7"/>
    <w:rsid w:val="000A4484"/>
    <w:rsid w:val="000A6B6B"/>
    <w:rsid w:val="000B1663"/>
    <w:rsid w:val="000B2031"/>
    <w:rsid w:val="000B2113"/>
    <w:rsid w:val="000B28ED"/>
    <w:rsid w:val="000B5752"/>
    <w:rsid w:val="000B721A"/>
    <w:rsid w:val="000B79AB"/>
    <w:rsid w:val="000C4D7B"/>
    <w:rsid w:val="000C6B0F"/>
    <w:rsid w:val="000C721A"/>
    <w:rsid w:val="000C78C6"/>
    <w:rsid w:val="000D05FC"/>
    <w:rsid w:val="000D1EFE"/>
    <w:rsid w:val="000D3D91"/>
    <w:rsid w:val="000D4E4A"/>
    <w:rsid w:val="000D51A8"/>
    <w:rsid w:val="000D5A87"/>
    <w:rsid w:val="000E0220"/>
    <w:rsid w:val="000E07CE"/>
    <w:rsid w:val="000E24A3"/>
    <w:rsid w:val="000E3CB4"/>
    <w:rsid w:val="000E5136"/>
    <w:rsid w:val="000E56EE"/>
    <w:rsid w:val="000F0037"/>
    <w:rsid w:val="000F107B"/>
    <w:rsid w:val="000F1EB9"/>
    <w:rsid w:val="000F272D"/>
    <w:rsid w:val="000F3C27"/>
    <w:rsid w:val="000F584F"/>
    <w:rsid w:val="000F6945"/>
    <w:rsid w:val="000F7E7B"/>
    <w:rsid w:val="001005CB"/>
    <w:rsid w:val="00102F93"/>
    <w:rsid w:val="0010325F"/>
    <w:rsid w:val="00103D20"/>
    <w:rsid w:val="00105698"/>
    <w:rsid w:val="00106C11"/>
    <w:rsid w:val="00107A7C"/>
    <w:rsid w:val="00110245"/>
    <w:rsid w:val="00111FAC"/>
    <w:rsid w:val="00112690"/>
    <w:rsid w:val="00112F22"/>
    <w:rsid w:val="00113E76"/>
    <w:rsid w:val="00114146"/>
    <w:rsid w:val="00116DDF"/>
    <w:rsid w:val="001210ED"/>
    <w:rsid w:val="00121C03"/>
    <w:rsid w:val="00124F7D"/>
    <w:rsid w:val="001260E1"/>
    <w:rsid w:val="00126F73"/>
    <w:rsid w:val="0013026B"/>
    <w:rsid w:val="001310C3"/>
    <w:rsid w:val="00131377"/>
    <w:rsid w:val="00133398"/>
    <w:rsid w:val="0013373D"/>
    <w:rsid w:val="00133EAA"/>
    <w:rsid w:val="001348D7"/>
    <w:rsid w:val="00136FBD"/>
    <w:rsid w:val="0014199F"/>
    <w:rsid w:val="00142ADC"/>
    <w:rsid w:val="00144B1A"/>
    <w:rsid w:val="00145781"/>
    <w:rsid w:val="0014661F"/>
    <w:rsid w:val="0014760E"/>
    <w:rsid w:val="00147AFB"/>
    <w:rsid w:val="00150F02"/>
    <w:rsid w:val="00152BA3"/>
    <w:rsid w:val="00155F9B"/>
    <w:rsid w:val="00156E25"/>
    <w:rsid w:val="00157DD1"/>
    <w:rsid w:val="00161217"/>
    <w:rsid w:val="001612D9"/>
    <w:rsid w:val="00161C3C"/>
    <w:rsid w:val="00163B5E"/>
    <w:rsid w:val="00163CFE"/>
    <w:rsid w:val="00163DDD"/>
    <w:rsid w:val="00165A52"/>
    <w:rsid w:val="00165EFA"/>
    <w:rsid w:val="00166F0F"/>
    <w:rsid w:val="00167FFC"/>
    <w:rsid w:val="001705C2"/>
    <w:rsid w:val="00170859"/>
    <w:rsid w:val="001710F9"/>
    <w:rsid w:val="00171115"/>
    <w:rsid w:val="00172074"/>
    <w:rsid w:val="00172CEC"/>
    <w:rsid w:val="00173391"/>
    <w:rsid w:val="001743E2"/>
    <w:rsid w:val="001752B2"/>
    <w:rsid w:val="00176B4C"/>
    <w:rsid w:val="00177710"/>
    <w:rsid w:val="00177DB9"/>
    <w:rsid w:val="001804B0"/>
    <w:rsid w:val="001813E6"/>
    <w:rsid w:val="001826AD"/>
    <w:rsid w:val="001859F7"/>
    <w:rsid w:val="00185BC3"/>
    <w:rsid w:val="00185BD3"/>
    <w:rsid w:val="00185BF5"/>
    <w:rsid w:val="001902AD"/>
    <w:rsid w:val="001903D4"/>
    <w:rsid w:val="00190BE9"/>
    <w:rsid w:val="00195537"/>
    <w:rsid w:val="001963B3"/>
    <w:rsid w:val="001A067A"/>
    <w:rsid w:val="001A28E0"/>
    <w:rsid w:val="001A3F72"/>
    <w:rsid w:val="001A5824"/>
    <w:rsid w:val="001A5AB3"/>
    <w:rsid w:val="001A64E3"/>
    <w:rsid w:val="001B0CD7"/>
    <w:rsid w:val="001B1DD7"/>
    <w:rsid w:val="001B21B5"/>
    <w:rsid w:val="001B65F9"/>
    <w:rsid w:val="001B6B15"/>
    <w:rsid w:val="001B6BCF"/>
    <w:rsid w:val="001B73D4"/>
    <w:rsid w:val="001C00FD"/>
    <w:rsid w:val="001C07A5"/>
    <w:rsid w:val="001C0C6D"/>
    <w:rsid w:val="001C1BFE"/>
    <w:rsid w:val="001C23F7"/>
    <w:rsid w:val="001C404D"/>
    <w:rsid w:val="001C4307"/>
    <w:rsid w:val="001C4A2D"/>
    <w:rsid w:val="001C5A75"/>
    <w:rsid w:val="001C61B8"/>
    <w:rsid w:val="001C7851"/>
    <w:rsid w:val="001D10C5"/>
    <w:rsid w:val="001D1630"/>
    <w:rsid w:val="001D1C36"/>
    <w:rsid w:val="001D31DB"/>
    <w:rsid w:val="001D344E"/>
    <w:rsid w:val="001D4A6F"/>
    <w:rsid w:val="001D739C"/>
    <w:rsid w:val="001D75ED"/>
    <w:rsid w:val="001D7DC1"/>
    <w:rsid w:val="001D7FD7"/>
    <w:rsid w:val="001E0266"/>
    <w:rsid w:val="001E03FE"/>
    <w:rsid w:val="001E2FA8"/>
    <w:rsid w:val="001E41A1"/>
    <w:rsid w:val="001E4822"/>
    <w:rsid w:val="001E4910"/>
    <w:rsid w:val="001E6644"/>
    <w:rsid w:val="001E6BA6"/>
    <w:rsid w:val="001E7B3B"/>
    <w:rsid w:val="001F076B"/>
    <w:rsid w:val="001F292B"/>
    <w:rsid w:val="001F2B74"/>
    <w:rsid w:val="001F2BB8"/>
    <w:rsid w:val="001F3D72"/>
    <w:rsid w:val="001F5C3F"/>
    <w:rsid w:val="001F6675"/>
    <w:rsid w:val="001F763A"/>
    <w:rsid w:val="001F7762"/>
    <w:rsid w:val="00200188"/>
    <w:rsid w:val="00201440"/>
    <w:rsid w:val="00204794"/>
    <w:rsid w:val="00204982"/>
    <w:rsid w:val="00205C7D"/>
    <w:rsid w:val="00205F34"/>
    <w:rsid w:val="002062E6"/>
    <w:rsid w:val="00210550"/>
    <w:rsid w:val="00211AB0"/>
    <w:rsid w:val="0021311B"/>
    <w:rsid w:val="002147E5"/>
    <w:rsid w:val="0021530C"/>
    <w:rsid w:val="0021613B"/>
    <w:rsid w:val="00216220"/>
    <w:rsid w:val="0022181E"/>
    <w:rsid w:val="00222D35"/>
    <w:rsid w:val="0022386C"/>
    <w:rsid w:val="00226863"/>
    <w:rsid w:val="00230A44"/>
    <w:rsid w:val="002330D6"/>
    <w:rsid w:val="00234498"/>
    <w:rsid w:val="00234F9D"/>
    <w:rsid w:val="00235509"/>
    <w:rsid w:val="0023593C"/>
    <w:rsid w:val="00235B9B"/>
    <w:rsid w:val="002362D7"/>
    <w:rsid w:val="00236657"/>
    <w:rsid w:val="002366D5"/>
    <w:rsid w:val="00237804"/>
    <w:rsid w:val="002502F9"/>
    <w:rsid w:val="0025094A"/>
    <w:rsid w:val="00252F43"/>
    <w:rsid w:val="002532DA"/>
    <w:rsid w:val="002541C0"/>
    <w:rsid w:val="00255440"/>
    <w:rsid w:val="00255ECB"/>
    <w:rsid w:val="0025609B"/>
    <w:rsid w:val="002568DE"/>
    <w:rsid w:val="00256DF1"/>
    <w:rsid w:val="0026032A"/>
    <w:rsid w:val="0026111E"/>
    <w:rsid w:val="00263424"/>
    <w:rsid w:val="002638A5"/>
    <w:rsid w:val="002641C5"/>
    <w:rsid w:val="00266B67"/>
    <w:rsid w:val="00266DF6"/>
    <w:rsid w:val="00267F4D"/>
    <w:rsid w:val="002725A7"/>
    <w:rsid w:val="002726E7"/>
    <w:rsid w:val="0027415F"/>
    <w:rsid w:val="00274683"/>
    <w:rsid w:val="002805B8"/>
    <w:rsid w:val="00281ED2"/>
    <w:rsid w:val="00282443"/>
    <w:rsid w:val="0028492E"/>
    <w:rsid w:val="00287B2D"/>
    <w:rsid w:val="00290B72"/>
    <w:rsid w:val="002916A3"/>
    <w:rsid w:val="00292B2D"/>
    <w:rsid w:val="00293717"/>
    <w:rsid w:val="00293BC8"/>
    <w:rsid w:val="00294359"/>
    <w:rsid w:val="002943C7"/>
    <w:rsid w:val="002945D3"/>
    <w:rsid w:val="00295B49"/>
    <w:rsid w:val="00295D5F"/>
    <w:rsid w:val="00296DBE"/>
    <w:rsid w:val="002A0227"/>
    <w:rsid w:val="002A3B8A"/>
    <w:rsid w:val="002A4198"/>
    <w:rsid w:val="002A6EA6"/>
    <w:rsid w:val="002A765E"/>
    <w:rsid w:val="002B0AC3"/>
    <w:rsid w:val="002B18A4"/>
    <w:rsid w:val="002B2410"/>
    <w:rsid w:val="002B48A8"/>
    <w:rsid w:val="002B4C8F"/>
    <w:rsid w:val="002B5649"/>
    <w:rsid w:val="002B62C0"/>
    <w:rsid w:val="002B74CE"/>
    <w:rsid w:val="002B76B4"/>
    <w:rsid w:val="002C1359"/>
    <w:rsid w:val="002C4058"/>
    <w:rsid w:val="002C41C5"/>
    <w:rsid w:val="002C4AF5"/>
    <w:rsid w:val="002C55EC"/>
    <w:rsid w:val="002C58A0"/>
    <w:rsid w:val="002C7EF9"/>
    <w:rsid w:val="002D0A96"/>
    <w:rsid w:val="002D0FCA"/>
    <w:rsid w:val="002D1F8E"/>
    <w:rsid w:val="002D1FE8"/>
    <w:rsid w:val="002D2C1C"/>
    <w:rsid w:val="002D42BA"/>
    <w:rsid w:val="002D45D2"/>
    <w:rsid w:val="002D4A2A"/>
    <w:rsid w:val="002D51F8"/>
    <w:rsid w:val="002D5351"/>
    <w:rsid w:val="002D78AE"/>
    <w:rsid w:val="002E0032"/>
    <w:rsid w:val="002E0E3E"/>
    <w:rsid w:val="002E129D"/>
    <w:rsid w:val="002E246F"/>
    <w:rsid w:val="002E28D2"/>
    <w:rsid w:val="002E3F7D"/>
    <w:rsid w:val="002E4772"/>
    <w:rsid w:val="002E62CC"/>
    <w:rsid w:val="002E7751"/>
    <w:rsid w:val="002F21E3"/>
    <w:rsid w:val="002F3582"/>
    <w:rsid w:val="002F35F2"/>
    <w:rsid w:val="002F38EC"/>
    <w:rsid w:val="002F45EC"/>
    <w:rsid w:val="002F61FE"/>
    <w:rsid w:val="002F6A12"/>
    <w:rsid w:val="002F7C24"/>
    <w:rsid w:val="00300181"/>
    <w:rsid w:val="0030165C"/>
    <w:rsid w:val="00301796"/>
    <w:rsid w:val="00301B81"/>
    <w:rsid w:val="00304BED"/>
    <w:rsid w:val="00304C27"/>
    <w:rsid w:val="0030636F"/>
    <w:rsid w:val="00306E39"/>
    <w:rsid w:val="003079A9"/>
    <w:rsid w:val="00310976"/>
    <w:rsid w:val="00310BCF"/>
    <w:rsid w:val="00311AE5"/>
    <w:rsid w:val="00311AE6"/>
    <w:rsid w:val="0031269D"/>
    <w:rsid w:val="00313E8D"/>
    <w:rsid w:val="0031585B"/>
    <w:rsid w:val="00315C0F"/>
    <w:rsid w:val="00315FEF"/>
    <w:rsid w:val="0032019B"/>
    <w:rsid w:val="00322DB7"/>
    <w:rsid w:val="00323698"/>
    <w:rsid w:val="003238B6"/>
    <w:rsid w:val="003252BC"/>
    <w:rsid w:val="003301D8"/>
    <w:rsid w:val="003319B6"/>
    <w:rsid w:val="003363B9"/>
    <w:rsid w:val="00336E52"/>
    <w:rsid w:val="00340416"/>
    <w:rsid w:val="00340863"/>
    <w:rsid w:val="003419FA"/>
    <w:rsid w:val="00341B85"/>
    <w:rsid w:val="00342625"/>
    <w:rsid w:val="00343E57"/>
    <w:rsid w:val="00344038"/>
    <w:rsid w:val="0034442F"/>
    <w:rsid w:val="003448CA"/>
    <w:rsid w:val="0034512C"/>
    <w:rsid w:val="00345573"/>
    <w:rsid w:val="00345908"/>
    <w:rsid w:val="003503D7"/>
    <w:rsid w:val="00352CD3"/>
    <w:rsid w:val="00354CA5"/>
    <w:rsid w:val="003563BA"/>
    <w:rsid w:val="00361E91"/>
    <w:rsid w:val="00362448"/>
    <w:rsid w:val="00362508"/>
    <w:rsid w:val="003626BC"/>
    <w:rsid w:val="00363E13"/>
    <w:rsid w:val="00366198"/>
    <w:rsid w:val="003702ED"/>
    <w:rsid w:val="003704B4"/>
    <w:rsid w:val="00370AB0"/>
    <w:rsid w:val="00370E53"/>
    <w:rsid w:val="00373220"/>
    <w:rsid w:val="0037520E"/>
    <w:rsid w:val="00375253"/>
    <w:rsid w:val="003776D0"/>
    <w:rsid w:val="00377E43"/>
    <w:rsid w:val="003808CC"/>
    <w:rsid w:val="00382F2B"/>
    <w:rsid w:val="00384699"/>
    <w:rsid w:val="00385885"/>
    <w:rsid w:val="00386F9C"/>
    <w:rsid w:val="00387331"/>
    <w:rsid w:val="00387F3E"/>
    <w:rsid w:val="00390D10"/>
    <w:rsid w:val="00391178"/>
    <w:rsid w:val="003915D5"/>
    <w:rsid w:val="00391C4C"/>
    <w:rsid w:val="0039236E"/>
    <w:rsid w:val="003930B4"/>
    <w:rsid w:val="00393825"/>
    <w:rsid w:val="00393CBA"/>
    <w:rsid w:val="00395B37"/>
    <w:rsid w:val="00396502"/>
    <w:rsid w:val="003977BF"/>
    <w:rsid w:val="003A037F"/>
    <w:rsid w:val="003A0E80"/>
    <w:rsid w:val="003A1A52"/>
    <w:rsid w:val="003A226E"/>
    <w:rsid w:val="003A2F87"/>
    <w:rsid w:val="003A763B"/>
    <w:rsid w:val="003A7A7E"/>
    <w:rsid w:val="003B073C"/>
    <w:rsid w:val="003B17C8"/>
    <w:rsid w:val="003B2369"/>
    <w:rsid w:val="003B2DC8"/>
    <w:rsid w:val="003B3492"/>
    <w:rsid w:val="003B397E"/>
    <w:rsid w:val="003B4502"/>
    <w:rsid w:val="003B47FF"/>
    <w:rsid w:val="003B5F89"/>
    <w:rsid w:val="003B6EC9"/>
    <w:rsid w:val="003C0236"/>
    <w:rsid w:val="003C0C2B"/>
    <w:rsid w:val="003C394B"/>
    <w:rsid w:val="003C5B21"/>
    <w:rsid w:val="003C7802"/>
    <w:rsid w:val="003C785A"/>
    <w:rsid w:val="003C7A16"/>
    <w:rsid w:val="003D0F40"/>
    <w:rsid w:val="003D1FB5"/>
    <w:rsid w:val="003D2919"/>
    <w:rsid w:val="003D3AD9"/>
    <w:rsid w:val="003D4EFD"/>
    <w:rsid w:val="003D6E84"/>
    <w:rsid w:val="003D71A7"/>
    <w:rsid w:val="003D77D6"/>
    <w:rsid w:val="003E1C65"/>
    <w:rsid w:val="003E2381"/>
    <w:rsid w:val="003E3064"/>
    <w:rsid w:val="003E42FD"/>
    <w:rsid w:val="003E4D8A"/>
    <w:rsid w:val="003E584B"/>
    <w:rsid w:val="003F389A"/>
    <w:rsid w:val="003F5054"/>
    <w:rsid w:val="003F7F43"/>
    <w:rsid w:val="0040043F"/>
    <w:rsid w:val="00401266"/>
    <w:rsid w:val="00401D82"/>
    <w:rsid w:val="00401E1A"/>
    <w:rsid w:val="00402B39"/>
    <w:rsid w:val="00404C66"/>
    <w:rsid w:val="0040533F"/>
    <w:rsid w:val="00405924"/>
    <w:rsid w:val="004065C6"/>
    <w:rsid w:val="00407D09"/>
    <w:rsid w:val="00410E6C"/>
    <w:rsid w:val="004116E5"/>
    <w:rsid w:val="00411FBD"/>
    <w:rsid w:val="00412CE3"/>
    <w:rsid w:val="0041349A"/>
    <w:rsid w:val="004161AF"/>
    <w:rsid w:val="00417F11"/>
    <w:rsid w:val="00420018"/>
    <w:rsid w:val="00421E54"/>
    <w:rsid w:val="00422AEE"/>
    <w:rsid w:val="00424FEA"/>
    <w:rsid w:val="0042767A"/>
    <w:rsid w:val="00427A55"/>
    <w:rsid w:val="00430318"/>
    <w:rsid w:val="0043250B"/>
    <w:rsid w:val="00437498"/>
    <w:rsid w:val="00440341"/>
    <w:rsid w:val="00443318"/>
    <w:rsid w:val="004434A9"/>
    <w:rsid w:val="00444EC8"/>
    <w:rsid w:val="0044724E"/>
    <w:rsid w:val="00450469"/>
    <w:rsid w:val="00451625"/>
    <w:rsid w:val="00452E3F"/>
    <w:rsid w:val="00453E2F"/>
    <w:rsid w:val="00455C3F"/>
    <w:rsid w:val="00457183"/>
    <w:rsid w:val="00457592"/>
    <w:rsid w:val="00457BB6"/>
    <w:rsid w:val="00457E99"/>
    <w:rsid w:val="00462C84"/>
    <w:rsid w:val="00463C05"/>
    <w:rsid w:val="00463E43"/>
    <w:rsid w:val="004674C3"/>
    <w:rsid w:val="00470720"/>
    <w:rsid w:val="00470B60"/>
    <w:rsid w:val="00471430"/>
    <w:rsid w:val="00471A36"/>
    <w:rsid w:val="0047278C"/>
    <w:rsid w:val="00473A4E"/>
    <w:rsid w:val="004764AA"/>
    <w:rsid w:val="0047696A"/>
    <w:rsid w:val="00477019"/>
    <w:rsid w:val="00477541"/>
    <w:rsid w:val="00477EBA"/>
    <w:rsid w:val="004805FF"/>
    <w:rsid w:val="004814BE"/>
    <w:rsid w:val="004843CD"/>
    <w:rsid w:val="00486042"/>
    <w:rsid w:val="00487D78"/>
    <w:rsid w:val="00487FF5"/>
    <w:rsid w:val="00490A05"/>
    <w:rsid w:val="00490E9C"/>
    <w:rsid w:val="00493183"/>
    <w:rsid w:val="00494DD3"/>
    <w:rsid w:val="004950C0"/>
    <w:rsid w:val="004966DD"/>
    <w:rsid w:val="004A2C11"/>
    <w:rsid w:val="004B1635"/>
    <w:rsid w:val="004B1680"/>
    <w:rsid w:val="004B287D"/>
    <w:rsid w:val="004B2BC9"/>
    <w:rsid w:val="004B304A"/>
    <w:rsid w:val="004B311C"/>
    <w:rsid w:val="004B3310"/>
    <w:rsid w:val="004B40B6"/>
    <w:rsid w:val="004B4179"/>
    <w:rsid w:val="004B48E2"/>
    <w:rsid w:val="004B56C1"/>
    <w:rsid w:val="004B6B88"/>
    <w:rsid w:val="004B6B94"/>
    <w:rsid w:val="004C1464"/>
    <w:rsid w:val="004C2DA5"/>
    <w:rsid w:val="004C2EAB"/>
    <w:rsid w:val="004C429C"/>
    <w:rsid w:val="004C496B"/>
    <w:rsid w:val="004C5020"/>
    <w:rsid w:val="004C5995"/>
    <w:rsid w:val="004C59F1"/>
    <w:rsid w:val="004D2335"/>
    <w:rsid w:val="004D4590"/>
    <w:rsid w:val="004D58FC"/>
    <w:rsid w:val="004D6AAB"/>
    <w:rsid w:val="004D70F5"/>
    <w:rsid w:val="004E0A08"/>
    <w:rsid w:val="004E21B6"/>
    <w:rsid w:val="004E271E"/>
    <w:rsid w:val="004E2DE6"/>
    <w:rsid w:val="004E36A0"/>
    <w:rsid w:val="004E3DC9"/>
    <w:rsid w:val="004E3F28"/>
    <w:rsid w:val="004E46F3"/>
    <w:rsid w:val="004E54CE"/>
    <w:rsid w:val="004E7EB7"/>
    <w:rsid w:val="004F0A40"/>
    <w:rsid w:val="004F1575"/>
    <w:rsid w:val="004F2B9D"/>
    <w:rsid w:val="004F3FEB"/>
    <w:rsid w:val="004F4007"/>
    <w:rsid w:val="004F4F36"/>
    <w:rsid w:val="004F53D8"/>
    <w:rsid w:val="004F5BD0"/>
    <w:rsid w:val="004F61C1"/>
    <w:rsid w:val="004F6C83"/>
    <w:rsid w:val="004F7DFB"/>
    <w:rsid w:val="00500E6F"/>
    <w:rsid w:val="005030BD"/>
    <w:rsid w:val="00510683"/>
    <w:rsid w:val="005112CC"/>
    <w:rsid w:val="00511FE2"/>
    <w:rsid w:val="00514038"/>
    <w:rsid w:val="00521626"/>
    <w:rsid w:val="00521ACC"/>
    <w:rsid w:val="00521BBE"/>
    <w:rsid w:val="005223D8"/>
    <w:rsid w:val="00522C49"/>
    <w:rsid w:val="00522E01"/>
    <w:rsid w:val="00523CC2"/>
    <w:rsid w:val="00524637"/>
    <w:rsid w:val="00524DE2"/>
    <w:rsid w:val="0052645F"/>
    <w:rsid w:val="00527C7C"/>
    <w:rsid w:val="00532285"/>
    <w:rsid w:val="00532712"/>
    <w:rsid w:val="00532C73"/>
    <w:rsid w:val="00534DA3"/>
    <w:rsid w:val="005359C9"/>
    <w:rsid w:val="00540564"/>
    <w:rsid w:val="00542383"/>
    <w:rsid w:val="0055141A"/>
    <w:rsid w:val="005560F8"/>
    <w:rsid w:val="00562202"/>
    <w:rsid w:val="00564F6D"/>
    <w:rsid w:val="0056594E"/>
    <w:rsid w:val="00566901"/>
    <w:rsid w:val="00570871"/>
    <w:rsid w:val="005728B8"/>
    <w:rsid w:val="00573F72"/>
    <w:rsid w:val="00574190"/>
    <w:rsid w:val="00575256"/>
    <w:rsid w:val="00580812"/>
    <w:rsid w:val="0058082F"/>
    <w:rsid w:val="005813EB"/>
    <w:rsid w:val="00581D4C"/>
    <w:rsid w:val="00582A99"/>
    <w:rsid w:val="005846F0"/>
    <w:rsid w:val="00584F3E"/>
    <w:rsid w:val="00584F71"/>
    <w:rsid w:val="00585610"/>
    <w:rsid w:val="00585B92"/>
    <w:rsid w:val="00586D77"/>
    <w:rsid w:val="005879C4"/>
    <w:rsid w:val="0059128F"/>
    <w:rsid w:val="00594718"/>
    <w:rsid w:val="005952AF"/>
    <w:rsid w:val="00595646"/>
    <w:rsid w:val="00595722"/>
    <w:rsid w:val="00597437"/>
    <w:rsid w:val="0059768B"/>
    <w:rsid w:val="005A0089"/>
    <w:rsid w:val="005A0A8D"/>
    <w:rsid w:val="005A2092"/>
    <w:rsid w:val="005A2A1F"/>
    <w:rsid w:val="005A3BE7"/>
    <w:rsid w:val="005A48EC"/>
    <w:rsid w:val="005A7D2D"/>
    <w:rsid w:val="005A7E1C"/>
    <w:rsid w:val="005B22BD"/>
    <w:rsid w:val="005B24E8"/>
    <w:rsid w:val="005B267E"/>
    <w:rsid w:val="005C0683"/>
    <w:rsid w:val="005C3466"/>
    <w:rsid w:val="005C4D29"/>
    <w:rsid w:val="005C5228"/>
    <w:rsid w:val="005C5487"/>
    <w:rsid w:val="005C7DA2"/>
    <w:rsid w:val="005D37F9"/>
    <w:rsid w:val="005D44B0"/>
    <w:rsid w:val="005D5D8B"/>
    <w:rsid w:val="005D667C"/>
    <w:rsid w:val="005D67EF"/>
    <w:rsid w:val="005E01BF"/>
    <w:rsid w:val="005E1714"/>
    <w:rsid w:val="005E1FFC"/>
    <w:rsid w:val="005E248E"/>
    <w:rsid w:val="005E2550"/>
    <w:rsid w:val="005E27F2"/>
    <w:rsid w:val="005E2B9A"/>
    <w:rsid w:val="005E487A"/>
    <w:rsid w:val="005E4891"/>
    <w:rsid w:val="005F021F"/>
    <w:rsid w:val="005F0763"/>
    <w:rsid w:val="005F0F58"/>
    <w:rsid w:val="005F1880"/>
    <w:rsid w:val="005F2D43"/>
    <w:rsid w:val="005F5531"/>
    <w:rsid w:val="006013A3"/>
    <w:rsid w:val="00601486"/>
    <w:rsid w:val="006020E1"/>
    <w:rsid w:val="006028BA"/>
    <w:rsid w:val="00603583"/>
    <w:rsid w:val="00605144"/>
    <w:rsid w:val="0060621C"/>
    <w:rsid w:val="00606E33"/>
    <w:rsid w:val="00607591"/>
    <w:rsid w:val="006076EA"/>
    <w:rsid w:val="006079D0"/>
    <w:rsid w:val="006079F4"/>
    <w:rsid w:val="006115A9"/>
    <w:rsid w:val="0061211D"/>
    <w:rsid w:val="00612BC7"/>
    <w:rsid w:val="0061329F"/>
    <w:rsid w:val="0061464C"/>
    <w:rsid w:val="00614E31"/>
    <w:rsid w:val="00617879"/>
    <w:rsid w:val="00617EEE"/>
    <w:rsid w:val="00621537"/>
    <w:rsid w:val="006218B7"/>
    <w:rsid w:val="00621A02"/>
    <w:rsid w:val="00623611"/>
    <w:rsid w:val="00623E3B"/>
    <w:rsid w:val="0062418C"/>
    <w:rsid w:val="006243C1"/>
    <w:rsid w:val="00624F44"/>
    <w:rsid w:val="0062570E"/>
    <w:rsid w:val="006258FC"/>
    <w:rsid w:val="0063185C"/>
    <w:rsid w:val="00633DDA"/>
    <w:rsid w:val="00636683"/>
    <w:rsid w:val="00641A7C"/>
    <w:rsid w:val="0064297B"/>
    <w:rsid w:val="00643BDF"/>
    <w:rsid w:val="00644BEF"/>
    <w:rsid w:val="006515D9"/>
    <w:rsid w:val="00653FB4"/>
    <w:rsid w:val="00655ECA"/>
    <w:rsid w:val="0065635C"/>
    <w:rsid w:val="006624B7"/>
    <w:rsid w:val="006626BB"/>
    <w:rsid w:val="00663881"/>
    <w:rsid w:val="00664355"/>
    <w:rsid w:val="00664995"/>
    <w:rsid w:val="00666BA4"/>
    <w:rsid w:val="0066757D"/>
    <w:rsid w:val="00670B44"/>
    <w:rsid w:val="006715F2"/>
    <w:rsid w:val="0067435E"/>
    <w:rsid w:val="006760B5"/>
    <w:rsid w:val="00677227"/>
    <w:rsid w:val="00677C16"/>
    <w:rsid w:val="00680D07"/>
    <w:rsid w:val="0068100E"/>
    <w:rsid w:val="00682167"/>
    <w:rsid w:val="006875C3"/>
    <w:rsid w:val="00687937"/>
    <w:rsid w:val="006903D8"/>
    <w:rsid w:val="006911D5"/>
    <w:rsid w:val="00692994"/>
    <w:rsid w:val="0069376A"/>
    <w:rsid w:val="0069396D"/>
    <w:rsid w:val="00694276"/>
    <w:rsid w:val="00694F40"/>
    <w:rsid w:val="00695596"/>
    <w:rsid w:val="006956A3"/>
    <w:rsid w:val="006963D8"/>
    <w:rsid w:val="00697188"/>
    <w:rsid w:val="006A06A4"/>
    <w:rsid w:val="006A5C22"/>
    <w:rsid w:val="006A6CC3"/>
    <w:rsid w:val="006A7316"/>
    <w:rsid w:val="006A7E01"/>
    <w:rsid w:val="006B172C"/>
    <w:rsid w:val="006B2BA0"/>
    <w:rsid w:val="006B38F3"/>
    <w:rsid w:val="006B3AE7"/>
    <w:rsid w:val="006B5F06"/>
    <w:rsid w:val="006B7049"/>
    <w:rsid w:val="006B7B12"/>
    <w:rsid w:val="006B7F75"/>
    <w:rsid w:val="006C1E6A"/>
    <w:rsid w:val="006C466F"/>
    <w:rsid w:val="006C4CC2"/>
    <w:rsid w:val="006C55CF"/>
    <w:rsid w:val="006C6AC6"/>
    <w:rsid w:val="006C6F8B"/>
    <w:rsid w:val="006C7E8E"/>
    <w:rsid w:val="006D42EA"/>
    <w:rsid w:val="006D6C48"/>
    <w:rsid w:val="006E0DD7"/>
    <w:rsid w:val="006E1107"/>
    <w:rsid w:val="006E4334"/>
    <w:rsid w:val="006E5564"/>
    <w:rsid w:val="006E6075"/>
    <w:rsid w:val="006E6395"/>
    <w:rsid w:val="006F4D1D"/>
    <w:rsid w:val="006F4EDD"/>
    <w:rsid w:val="006F4F47"/>
    <w:rsid w:val="006F5A80"/>
    <w:rsid w:val="006F5CD3"/>
    <w:rsid w:val="006F7119"/>
    <w:rsid w:val="00700993"/>
    <w:rsid w:val="007028EF"/>
    <w:rsid w:val="00707DF8"/>
    <w:rsid w:val="0071104D"/>
    <w:rsid w:val="0071146D"/>
    <w:rsid w:val="00714056"/>
    <w:rsid w:val="00717261"/>
    <w:rsid w:val="007176D5"/>
    <w:rsid w:val="007216F9"/>
    <w:rsid w:val="00721A03"/>
    <w:rsid w:val="00722F34"/>
    <w:rsid w:val="00723EC7"/>
    <w:rsid w:val="007247FD"/>
    <w:rsid w:val="007258B6"/>
    <w:rsid w:val="0072733C"/>
    <w:rsid w:val="007316D5"/>
    <w:rsid w:val="00731BFA"/>
    <w:rsid w:val="00731C64"/>
    <w:rsid w:val="007321A8"/>
    <w:rsid w:val="0073290E"/>
    <w:rsid w:val="007338F9"/>
    <w:rsid w:val="00734B55"/>
    <w:rsid w:val="0073706D"/>
    <w:rsid w:val="007425F2"/>
    <w:rsid w:val="00743B81"/>
    <w:rsid w:val="00743B9C"/>
    <w:rsid w:val="00743C9E"/>
    <w:rsid w:val="00743F14"/>
    <w:rsid w:val="00745542"/>
    <w:rsid w:val="0074604C"/>
    <w:rsid w:val="00746146"/>
    <w:rsid w:val="0074731E"/>
    <w:rsid w:val="00750C73"/>
    <w:rsid w:val="007511BC"/>
    <w:rsid w:val="00751A86"/>
    <w:rsid w:val="00754DD8"/>
    <w:rsid w:val="00755168"/>
    <w:rsid w:val="00755B96"/>
    <w:rsid w:val="00756110"/>
    <w:rsid w:val="007570B4"/>
    <w:rsid w:val="007601BD"/>
    <w:rsid w:val="007622E3"/>
    <w:rsid w:val="007626D2"/>
    <w:rsid w:val="0076316B"/>
    <w:rsid w:val="00764C4D"/>
    <w:rsid w:val="00765AC1"/>
    <w:rsid w:val="00765F40"/>
    <w:rsid w:val="00766B6E"/>
    <w:rsid w:val="00772E53"/>
    <w:rsid w:val="00773E47"/>
    <w:rsid w:val="007741D0"/>
    <w:rsid w:val="0077529C"/>
    <w:rsid w:val="00775DEB"/>
    <w:rsid w:val="007764E0"/>
    <w:rsid w:val="00777987"/>
    <w:rsid w:val="00777B3B"/>
    <w:rsid w:val="0078058B"/>
    <w:rsid w:val="00780C1B"/>
    <w:rsid w:val="007810CE"/>
    <w:rsid w:val="00782873"/>
    <w:rsid w:val="00782903"/>
    <w:rsid w:val="007834A5"/>
    <w:rsid w:val="00784936"/>
    <w:rsid w:val="00786075"/>
    <w:rsid w:val="00790AB4"/>
    <w:rsid w:val="007917D7"/>
    <w:rsid w:val="007950C2"/>
    <w:rsid w:val="007951A6"/>
    <w:rsid w:val="007956AF"/>
    <w:rsid w:val="00795FE2"/>
    <w:rsid w:val="007963EF"/>
    <w:rsid w:val="007A117A"/>
    <w:rsid w:val="007A157F"/>
    <w:rsid w:val="007A1ABB"/>
    <w:rsid w:val="007A28E4"/>
    <w:rsid w:val="007A3D70"/>
    <w:rsid w:val="007A6378"/>
    <w:rsid w:val="007A6D86"/>
    <w:rsid w:val="007B07DB"/>
    <w:rsid w:val="007B0EC2"/>
    <w:rsid w:val="007B1A88"/>
    <w:rsid w:val="007B1DD5"/>
    <w:rsid w:val="007B268C"/>
    <w:rsid w:val="007B2C0A"/>
    <w:rsid w:val="007B312F"/>
    <w:rsid w:val="007B5492"/>
    <w:rsid w:val="007B579D"/>
    <w:rsid w:val="007B7BE5"/>
    <w:rsid w:val="007C003E"/>
    <w:rsid w:val="007C46AA"/>
    <w:rsid w:val="007D11EB"/>
    <w:rsid w:val="007D2036"/>
    <w:rsid w:val="007D255C"/>
    <w:rsid w:val="007D275F"/>
    <w:rsid w:val="007D2B4B"/>
    <w:rsid w:val="007D38A8"/>
    <w:rsid w:val="007D59AB"/>
    <w:rsid w:val="007D5E38"/>
    <w:rsid w:val="007E04CA"/>
    <w:rsid w:val="007E4022"/>
    <w:rsid w:val="007E5F01"/>
    <w:rsid w:val="007E5F56"/>
    <w:rsid w:val="007E63E4"/>
    <w:rsid w:val="007E68BC"/>
    <w:rsid w:val="007E76E8"/>
    <w:rsid w:val="007F0418"/>
    <w:rsid w:val="007F3438"/>
    <w:rsid w:val="007F3EC2"/>
    <w:rsid w:val="007F5248"/>
    <w:rsid w:val="007F71DB"/>
    <w:rsid w:val="007F770B"/>
    <w:rsid w:val="007F7907"/>
    <w:rsid w:val="008002D2"/>
    <w:rsid w:val="00800882"/>
    <w:rsid w:val="00801E11"/>
    <w:rsid w:val="008025AB"/>
    <w:rsid w:val="008044BA"/>
    <w:rsid w:val="008044D4"/>
    <w:rsid w:val="00806489"/>
    <w:rsid w:val="00811354"/>
    <w:rsid w:val="00812341"/>
    <w:rsid w:val="00815753"/>
    <w:rsid w:val="008209B8"/>
    <w:rsid w:val="00820BCB"/>
    <w:rsid w:val="00821140"/>
    <w:rsid w:val="008215B1"/>
    <w:rsid w:val="00822267"/>
    <w:rsid w:val="0082249B"/>
    <w:rsid w:val="00822CE4"/>
    <w:rsid w:val="00822F62"/>
    <w:rsid w:val="00823832"/>
    <w:rsid w:val="00824065"/>
    <w:rsid w:val="0082418E"/>
    <w:rsid w:val="008252C8"/>
    <w:rsid w:val="00825740"/>
    <w:rsid w:val="0082751C"/>
    <w:rsid w:val="00827576"/>
    <w:rsid w:val="00827E33"/>
    <w:rsid w:val="008303A1"/>
    <w:rsid w:val="00832A5A"/>
    <w:rsid w:val="00832DEE"/>
    <w:rsid w:val="008330D3"/>
    <w:rsid w:val="008343E7"/>
    <w:rsid w:val="00835657"/>
    <w:rsid w:val="008361CA"/>
    <w:rsid w:val="00836FD6"/>
    <w:rsid w:val="00841158"/>
    <w:rsid w:val="008428D4"/>
    <w:rsid w:val="0084349B"/>
    <w:rsid w:val="00844BA1"/>
    <w:rsid w:val="00845B57"/>
    <w:rsid w:val="00845DD5"/>
    <w:rsid w:val="00846A55"/>
    <w:rsid w:val="00846B43"/>
    <w:rsid w:val="00846D7D"/>
    <w:rsid w:val="00847519"/>
    <w:rsid w:val="00847D58"/>
    <w:rsid w:val="008536A9"/>
    <w:rsid w:val="00854AA1"/>
    <w:rsid w:val="0085589E"/>
    <w:rsid w:val="00857AAF"/>
    <w:rsid w:val="00860A4E"/>
    <w:rsid w:val="00860EFF"/>
    <w:rsid w:val="0086234E"/>
    <w:rsid w:val="00864234"/>
    <w:rsid w:val="008649D3"/>
    <w:rsid w:val="00865C24"/>
    <w:rsid w:val="00866277"/>
    <w:rsid w:val="00866369"/>
    <w:rsid w:val="00867A62"/>
    <w:rsid w:val="008720D6"/>
    <w:rsid w:val="00876117"/>
    <w:rsid w:val="008771B8"/>
    <w:rsid w:val="008804D9"/>
    <w:rsid w:val="00880CE4"/>
    <w:rsid w:val="00884FE1"/>
    <w:rsid w:val="00887D17"/>
    <w:rsid w:val="008901CF"/>
    <w:rsid w:val="00890ABC"/>
    <w:rsid w:val="00890D15"/>
    <w:rsid w:val="00891B83"/>
    <w:rsid w:val="00891BFD"/>
    <w:rsid w:val="0089253C"/>
    <w:rsid w:val="00893B2D"/>
    <w:rsid w:val="008940E8"/>
    <w:rsid w:val="00895E08"/>
    <w:rsid w:val="00897372"/>
    <w:rsid w:val="008A0476"/>
    <w:rsid w:val="008A1408"/>
    <w:rsid w:val="008A17AD"/>
    <w:rsid w:val="008A1E78"/>
    <w:rsid w:val="008A1FBA"/>
    <w:rsid w:val="008A21C1"/>
    <w:rsid w:val="008A2FBC"/>
    <w:rsid w:val="008A3FEF"/>
    <w:rsid w:val="008A7187"/>
    <w:rsid w:val="008A7AE3"/>
    <w:rsid w:val="008B095B"/>
    <w:rsid w:val="008B24F1"/>
    <w:rsid w:val="008B4557"/>
    <w:rsid w:val="008B5C62"/>
    <w:rsid w:val="008B64FA"/>
    <w:rsid w:val="008C1348"/>
    <w:rsid w:val="008C2051"/>
    <w:rsid w:val="008C311B"/>
    <w:rsid w:val="008C36AC"/>
    <w:rsid w:val="008C580E"/>
    <w:rsid w:val="008C7FD8"/>
    <w:rsid w:val="008D2CE1"/>
    <w:rsid w:val="008D3054"/>
    <w:rsid w:val="008D30B7"/>
    <w:rsid w:val="008D3AC1"/>
    <w:rsid w:val="008D6298"/>
    <w:rsid w:val="008D696C"/>
    <w:rsid w:val="008E163E"/>
    <w:rsid w:val="008E1C30"/>
    <w:rsid w:val="008E2B61"/>
    <w:rsid w:val="008E3C88"/>
    <w:rsid w:val="008E6016"/>
    <w:rsid w:val="008E6242"/>
    <w:rsid w:val="008E67A3"/>
    <w:rsid w:val="008F0167"/>
    <w:rsid w:val="008F09EA"/>
    <w:rsid w:val="008F0BF4"/>
    <w:rsid w:val="008F1F1D"/>
    <w:rsid w:val="008F2D95"/>
    <w:rsid w:val="008F4A55"/>
    <w:rsid w:val="008F5A1D"/>
    <w:rsid w:val="008F70B1"/>
    <w:rsid w:val="008F719D"/>
    <w:rsid w:val="008F7BC2"/>
    <w:rsid w:val="0090031C"/>
    <w:rsid w:val="00900EDE"/>
    <w:rsid w:val="00902DA8"/>
    <w:rsid w:val="00903337"/>
    <w:rsid w:val="009041D2"/>
    <w:rsid w:val="00906214"/>
    <w:rsid w:val="0091068B"/>
    <w:rsid w:val="00910E46"/>
    <w:rsid w:val="009128C0"/>
    <w:rsid w:val="00912904"/>
    <w:rsid w:val="0091367D"/>
    <w:rsid w:val="00913C4E"/>
    <w:rsid w:val="009149B1"/>
    <w:rsid w:val="009163A4"/>
    <w:rsid w:val="009168E1"/>
    <w:rsid w:val="00917B4C"/>
    <w:rsid w:val="009200BB"/>
    <w:rsid w:val="00921256"/>
    <w:rsid w:val="009230AF"/>
    <w:rsid w:val="00923BA6"/>
    <w:rsid w:val="00923D29"/>
    <w:rsid w:val="009245D7"/>
    <w:rsid w:val="009253A6"/>
    <w:rsid w:val="00926102"/>
    <w:rsid w:val="00927304"/>
    <w:rsid w:val="009279B9"/>
    <w:rsid w:val="00933BE7"/>
    <w:rsid w:val="00934F4B"/>
    <w:rsid w:val="00935175"/>
    <w:rsid w:val="00935589"/>
    <w:rsid w:val="00940993"/>
    <w:rsid w:val="009422FE"/>
    <w:rsid w:val="00944FDD"/>
    <w:rsid w:val="009451A1"/>
    <w:rsid w:val="00945568"/>
    <w:rsid w:val="00946B4D"/>
    <w:rsid w:val="00947627"/>
    <w:rsid w:val="00947E6E"/>
    <w:rsid w:val="00950ED7"/>
    <w:rsid w:val="00952725"/>
    <w:rsid w:val="009527CC"/>
    <w:rsid w:val="00952805"/>
    <w:rsid w:val="009544DA"/>
    <w:rsid w:val="00954F45"/>
    <w:rsid w:val="00955EEE"/>
    <w:rsid w:val="00957BCA"/>
    <w:rsid w:val="009602E0"/>
    <w:rsid w:val="009608B5"/>
    <w:rsid w:val="00960BB0"/>
    <w:rsid w:val="00962509"/>
    <w:rsid w:val="009647BA"/>
    <w:rsid w:val="00965F07"/>
    <w:rsid w:val="0096735A"/>
    <w:rsid w:val="00967C7B"/>
    <w:rsid w:val="00967F56"/>
    <w:rsid w:val="00970480"/>
    <w:rsid w:val="009717FF"/>
    <w:rsid w:val="00972BC6"/>
    <w:rsid w:val="0097578C"/>
    <w:rsid w:val="009757AE"/>
    <w:rsid w:val="00975D6D"/>
    <w:rsid w:val="009804DF"/>
    <w:rsid w:val="009815FA"/>
    <w:rsid w:val="00981E75"/>
    <w:rsid w:val="00982498"/>
    <w:rsid w:val="009842D3"/>
    <w:rsid w:val="00985F92"/>
    <w:rsid w:val="00986550"/>
    <w:rsid w:val="00986E86"/>
    <w:rsid w:val="009906F7"/>
    <w:rsid w:val="00990A79"/>
    <w:rsid w:val="009917DD"/>
    <w:rsid w:val="0099399A"/>
    <w:rsid w:val="009945D3"/>
    <w:rsid w:val="00994A82"/>
    <w:rsid w:val="009951C8"/>
    <w:rsid w:val="00995B12"/>
    <w:rsid w:val="0099648D"/>
    <w:rsid w:val="00996AD7"/>
    <w:rsid w:val="00996C0B"/>
    <w:rsid w:val="009972E6"/>
    <w:rsid w:val="009974D1"/>
    <w:rsid w:val="009A28EC"/>
    <w:rsid w:val="009A2E6A"/>
    <w:rsid w:val="009A380D"/>
    <w:rsid w:val="009A4155"/>
    <w:rsid w:val="009A4C5B"/>
    <w:rsid w:val="009A59F0"/>
    <w:rsid w:val="009A72BD"/>
    <w:rsid w:val="009A79AD"/>
    <w:rsid w:val="009B008A"/>
    <w:rsid w:val="009B0E0C"/>
    <w:rsid w:val="009B1CA3"/>
    <w:rsid w:val="009B366D"/>
    <w:rsid w:val="009B562B"/>
    <w:rsid w:val="009B580A"/>
    <w:rsid w:val="009B5F55"/>
    <w:rsid w:val="009C0439"/>
    <w:rsid w:val="009C0A6E"/>
    <w:rsid w:val="009C5C22"/>
    <w:rsid w:val="009D17C0"/>
    <w:rsid w:val="009D17CC"/>
    <w:rsid w:val="009D25E7"/>
    <w:rsid w:val="009D2E5E"/>
    <w:rsid w:val="009D3629"/>
    <w:rsid w:val="009D4353"/>
    <w:rsid w:val="009D4584"/>
    <w:rsid w:val="009D4AEA"/>
    <w:rsid w:val="009D5E0A"/>
    <w:rsid w:val="009D7C58"/>
    <w:rsid w:val="009E0CFE"/>
    <w:rsid w:val="009E1FEF"/>
    <w:rsid w:val="009E2062"/>
    <w:rsid w:val="009E285E"/>
    <w:rsid w:val="009E2E53"/>
    <w:rsid w:val="009E3013"/>
    <w:rsid w:val="009E43B6"/>
    <w:rsid w:val="009E7074"/>
    <w:rsid w:val="009F047D"/>
    <w:rsid w:val="009F0663"/>
    <w:rsid w:val="009F0A45"/>
    <w:rsid w:val="009F0EEB"/>
    <w:rsid w:val="009F196D"/>
    <w:rsid w:val="009F2436"/>
    <w:rsid w:val="009F29B8"/>
    <w:rsid w:val="009F4460"/>
    <w:rsid w:val="009F4DEB"/>
    <w:rsid w:val="009F60A7"/>
    <w:rsid w:val="00A0025D"/>
    <w:rsid w:val="00A0067A"/>
    <w:rsid w:val="00A01A91"/>
    <w:rsid w:val="00A020B2"/>
    <w:rsid w:val="00A028BE"/>
    <w:rsid w:val="00A036ED"/>
    <w:rsid w:val="00A044B5"/>
    <w:rsid w:val="00A063DC"/>
    <w:rsid w:val="00A06C56"/>
    <w:rsid w:val="00A07A53"/>
    <w:rsid w:val="00A101DE"/>
    <w:rsid w:val="00A1121A"/>
    <w:rsid w:val="00A11C70"/>
    <w:rsid w:val="00A12E4F"/>
    <w:rsid w:val="00A13E0F"/>
    <w:rsid w:val="00A13E70"/>
    <w:rsid w:val="00A1535E"/>
    <w:rsid w:val="00A175B8"/>
    <w:rsid w:val="00A21430"/>
    <w:rsid w:val="00A22754"/>
    <w:rsid w:val="00A22BA5"/>
    <w:rsid w:val="00A22CA1"/>
    <w:rsid w:val="00A24AFC"/>
    <w:rsid w:val="00A2675C"/>
    <w:rsid w:val="00A30273"/>
    <w:rsid w:val="00A3030B"/>
    <w:rsid w:val="00A32CB5"/>
    <w:rsid w:val="00A32FDA"/>
    <w:rsid w:val="00A339D4"/>
    <w:rsid w:val="00A352DC"/>
    <w:rsid w:val="00A37F8A"/>
    <w:rsid w:val="00A41273"/>
    <w:rsid w:val="00A41432"/>
    <w:rsid w:val="00A41751"/>
    <w:rsid w:val="00A42223"/>
    <w:rsid w:val="00A45A67"/>
    <w:rsid w:val="00A45B4A"/>
    <w:rsid w:val="00A45B6C"/>
    <w:rsid w:val="00A4632A"/>
    <w:rsid w:val="00A500FC"/>
    <w:rsid w:val="00A50255"/>
    <w:rsid w:val="00A51BF1"/>
    <w:rsid w:val="00A531F2"/>
    <w:rsid w:val="00A538DF"/>
    <w:rsid w:val="00A56C7F"/>
    <w:rsid w:val="00A60225"/>
    <w:rsid w:val="00A60C0F"/>
    <w:rsid w:val="00A61996"/>
    <w:rsid w:val="00A61F23"/>
    <w:rsid w:val="00A636F1"/>
    <w:rsid w:val="00A63F5B"/>
    <w:rsid w:val="00A65304"/>
    <w:rsid w:val="00A65688"/>
    <w:rsid w:val="00A67635"/>
    <w:rsid w:val="00A738F3"/>
    <w:rsid w:val="00A7393D"/>
    <w:rsid w:val="00A806B5"/>
    <w:rsid w:val="00A83310"/>
    <w:rsid w:val="00A834B7"/>
    <w:rsid w:val="00A84CCF"/>
    <w:rsid w:val="00A8546B"/>
    <w:rsid w:val="00A8566A"/>
    <w:rsid w:val="00A8627D"/>
    <w:rsid w:val="00A8648F"/>
    <w:rsid w:val="00A8679E"/>
    <w:rsid w:val="00A86946"/>
    <w:rsid w:val="00A90D00"/>
    <w:rsid w:val="00A91D7F"/>
    <w:rsid w:val="00A92A32"/>
    <w:rsid w:val="00A9426A"/>
    <w:rsid w:val="00A9497C"/>
    <w:rsid w:val="00A94E60"/>
    <w:rsid w:val="00A972C0"/>
    <w:rsid w:val="00A9737B"/>
    <w:rsid w:val="00A974C0"/>
    <w:rsid w:val="00AA0AE1"/>
    <w:rsid w:val="00AA14A9"/>
    <w:rsid w:val="00AA1DE3"/>
    <w:rsid w:val="00AA2B0E"/>
    <w:rsid w:val="00AA2D7F"/>
    <w:rsid w:val="00AA31F5"/>
    <w:rsid w:val="00AA553C"/>
    <w:rsid w:val="00AA70E0"/>
    <w:rsid w:val="00AB2174"/>
    <w:rsid w:val="00AB2E04"/>
    <w:rsid w:val="00AB3B17"/>
    <w:rsid w:val="00AB43CC"/>
    <w:rsid w:val="00AB54DF"/>
    <w:rsid w:val="00AB6D14"/>
    <w:rsid w:val="00AC1A29"/>
    <w:rsid w:val="00AC27F8"/>
    <w:rsid w:val="00AC336A"/>
    <w:rsid w:val="00AC3407"/>
    <w:rsid w:val="00AC415D"/>
    <w:rsid w:val="00AD0757"/>
    <w:rsid w:val="00AD1A3E"/>
    <w:rsid w:val="00AD31C2"/>
    <w:rsid w:val="00AD3C66"/>
    <w:rsid w:val="00AD3DF7"/>
    <w:rsid w:val="00AD45BC"/>
    <w:rsid w:val="00AD4D38"/>
    <w:rsid w:val="00AD62B2"/>
    <w:rsid w:val="00AE09E8"/>
    <w:rsid w:val="00AE0BA7"/>
    <w:rsid w:val="00AE0E6A"/>
    <w:rsid w:val="00AE1407"/>
    <w:rsid w:val="00AE167A"/>
    <w:rsid w:val="00AE1A65"/>
    <w:rsid w:val="00AE211D"/>
    <w:rsid w:val="00AE2FC3"/>
    <w:rsid w:val="00AE356C"/>
    <w:rsid w:val="00AE401C"/>
    <w:rsid w:val="00AE40D7"/>
    <w:rsid w:val="00AE50BE"/>
    <w:rsid w:val="00AE5C08"/>
    <w:rsid w:val="00AE6448"/>
    <w:rsid w:val="00AE6921"/>
    <w:rsid w:val="00AE6D2D"/>
    <w:rsid w:val="00AE7DD8"/>
    <w:rsid w:val="00AF0336"/>
    <w:rsid w:val="00AF0F6C"/>
    <w:rsid w:val="00AF149E"/>
    <w:rsid w:val="00AF2B37"/>
    <w:rsid w:val="00AF7949"/>
    <w:rsid w:val="00B00009"/>
    <w:rsid w:val="00B02FFD"/>
    <w:rsid w:val="00B0391B"/>
    <w:rsid w:val="00B04050"/>
    <w:rsid w:val="00B054D9"/>
    <w:rsid w:val="00B05599"/>
    <w:rsid w:val="00B06C74"/>
    <w:rsid w:val="00B10D60"/>
    <w:rsid w:val="00B1384A"/>
    <w:rsid w:val="00B13A8C"/>
    <w:rsid w:val="00B13DE6"/>
    <w:rsid w:val="00B15C19"/>
    <w:rsid w:val="00B169B3"/>
    <w:rsid w:val="00B17639"/>
    <w:rsid w:val="00B200B3"/>
    <w:rsid w:val="00B20D14"/>
    <w:rsid w:val="00B231C1"/>
    <w:rsid w:val="00B23D26"/>
    <w:rsid w:val="00B265FF"/>
    <w:rsid w:val="00B26747"/>
    <w:rsid w:val="00B26819"/>
    <w:rsid w:val="00B26CD4"/>
    <w:rsid w:val="00B26D25"/>
    <w:rsid w:val="00B3029F"/>
    <w:rsid w:val="00B3115E"/>
    <w:rsid w:val="00B31C96"/>
    <w:rsid w:val="00B327A8"/>
    <w:rsid w:val="00B33A8E"/>
    <w:rsid w:val="00B359D8"/>
    <w:rsid w:val="00B36EC1"/>
    <w:rsid w:val="00B373C9"/>
    <w:rsid w:val="00B37EBB"/>
    <w:rsid w:val="00B410FD"/>
    <w:rsid w:val="00B411E0"/>
    <w:rsid w:val="00B42553"/>
    <w:rsid w:val="00B42A54"/>
    <w:rsid w:val="00B42C7D"/>
    <w:rsid w:val="00B50AE4"/>
    <w:rsid w:val="00B526C8"/>
    <w:rsid w:val="00B52C17"/>
    <w:rsid w:val="00B53D50"/>
    <w:rsid w:val="00B5444E"/>
    <w:rsid w:val="00B544D8"/>
    <w:rsid w:val="00B54BBB"/>
    <w:rsid w:val="00B57180"/>
    <w:rsid w:val="00B576AD"/>
    <w:rsid w:val="00B604CB"/>
    <w:rsid w:val="00B61680"/>
    <w:rsid w:val="00B618C9"/>
    <w:rsid w:val="00B61E89"/>
    <w:rsid w:val="00B62147"/>
    <w:rsid w:val="00B63798"/>
    <w:rsid w:val="00B64128"/>
    <w:rsid w:val="00B64130"/>
    <w:rsid w:val="00B64163"/>
    <w:rsid w:val="00B64726"/>
    <w:rsid w:val="00B65F90"/>
    <w:rsid w:val="00B66EBA"/>
    <w:rsid w:val="00B706A5"/>
    <w:rsid w:val="00B71ECE"/>
    <w:rsid w:val="00B72AAC"/>
    <w:rsid w:val="00B735C5"/>
    <w:rsid w:val="00B74533"/>
    <w:rsid w:val="00B74E6A"/>
    <w:rsid w:val="00B75EDF"/>
    <w:rsid w:val="00B762B9"/>
    <w:rsid w:val="00B76EAD"/>
    <w:rsid w:val="00B77E69"/>
    <w:rsid w:val="00B808EF"/>
    <w:rsid w:val="00B80C54"/>
    <w:rsid w:val="00B81EB9"/>
    <w:rsid w:val="00B82537"/>
    <w:rsid w:val="00B85A4E"/>
    <w:rsid w:val="00B9012E"/>
    <w:rsid w:val="00B906CF"/>
    <w:rsid w:val="00B90A1E"/>
    <w:rsid w:val="00B91BFC"/>
    <w:rsid w:val="00B92ACF"/>
    <w:rsid w:val="00B92DD2"/>
    <w:rsid w:val="00B92F00"/>
    <w:rsid w:val="00B93069"/>
    <w:rsid w:val="00B95CC1"/>
    <w:rsid w:val="00B97FCA"/>
    <w:rsid w:val="00BA1A83"/>
    <w:rsid w:val="00BA37D5"/>
    <w:rsid w:val="00BA43D7"/>
    <w:rsid w:val="00BA530F"/>
    <w:rsid w:val="00BB1638"/>
    <w:rsid w:val="00BB2B4B"/>
    <w:rsid w:val="00BB2D40"/>
    <w:rsid w:val="00BB2D62"/>
    <w:rsid w:val="00BB37C7"/>
    <w:rsid w:val="00BB4E22"/>
    <w:rsid w:val="00BB5892"/>
    <w:rsid w:val="00BB6B65"/>
    <w:rsid w:val="00BB6C52"/>
    <w:rsid w:val="00BB74A3"/>
    <w:rsid w:val="00BC078E"/>
    <w:rsid w:val="00BC1C7C"/>
    <w:rsid w:val="00BC26D5"/>
    <w:rsid w:val="00BC3C67"/>
    <w:rsid w:val="00BC4287"/>
    <w:rsid w:val="00BC42D9"/>
    <w:rsid w:val="00BC440E"/>
    <w:rsid w:val="00BC5853"/>
    <w:rsid w:val="00BC6D74"/>
    <w:rsid w:val="00BC6E69"/>
    <w:rsid w:val="00BC7F4C"/>
    <w:rsid w:val="00BD0189"/>
    <w:rsid w:val="00BD0C0C"/>
    <w:rsid w:val="00BD0E65"/>
    <w:rsid w:val="00BD1291"/>
    <w:rsid w:val="00BD16DA"/>
    <w:rsid w:val="00BD45CF"/>
    <w:rsid w:val="00BD5A84"/>
    <w:rsid w:val="00BD63DE"/>
    <w:rsid w:val="00BD669D"/>
    <w:rsid w:val="00BE06AB"/>
    <w:rsid w:val="00BE6FF0"/>
    <w:rsid w:val="00BE7678"/>
    <w:rsid w:val="00BF160B"/>
    <w:rsid w:val="00BF2659"/>
    <w:rsid w:val="00BF3A9B"/>
    <w:rsid w:val="00BF5651"/>
    <w:rsid w:val="00BF59AF"/>
    <w:rsid w:val="00BF5D70"/>
    <w:rsid w:val="00BF6F5D"/>
    <w:rsid w:val="00BF799C"/>
    <w:rsid w:val="00C00A54"/>
    <w:rsid w:val="00C030FE"/>
    <w:rsid w:val="00C03BFB"/>
    <w:rsid w:val="00C04F98"/>
    <w:rsid w:val="00C068A6"/>
    <w:rsid w:val="00C069B0"/>
    <w:rsid w:val="00C07C00"/>
    <w:rsid w:val="00C1071F"/>
    <w:rsid w:val="00C10915"/>
    <w:rsid w:val="00C12EAA"/>
    <w:rsid w:val="00C13F2D"/>
    <w:rsid w:val="00C144CA"/>
    <w:rsid w:val="00C14E81"/>
    <w:rsid w:val="00C171AE"/>
    <w:rsid w:val="00C17E9C"/>
    <w:rsid w:val="00C2117B"/>
    <w:rsid w:val="00C21AF0"/>
    <w:rsid w:val="00C22247"/>
    <w:rsid w:val="00C225B3"/>
    <w:rsid w:val="00C22B38"/>
    <w:rsid w:val="00C23007"/>
    <w:rsid w:val="00C23573"/>
    <w:rsid w:val="00C23650"/>
    <w:rsid w:val="00C23798"/>
    <w:rsid w:val="00C23CA4"/>
    <w:rsid w:val="00C23D44"/>
    <w:rsid w:val="00C243E5"/>
    <w:rsid w:val="00C249D2"/>
    <w:rsid w:val="00C25880"/>
    <w:rsid w:val="00C26F5F"/>
    <w:rsid w:val="00C272FF"/>
    <w:rsid w:val="00C300DD"/>
    <w:rsid w:val="00C30D63"/>
    <w:rsid w:val="00C35E86"/>
    <w:rsid w:val="00C4284E"/>
    <w:rsid w:val="00C44288"/>
    <w:rsid w:val="00C44932"/>
    <w:rsid w:val="00C454EA"/>
    <w:rsid w:val="00C4573C"/>
    <w:rsid w:val="00C459D2"/>
    <w:rsid w:val="00C470AE"/>
    <w:rsid w:val="00C501CB"/>
    <w:rsid w:val="00C52EE2"/>
    <w:rsid w:val="00C53E2E"/>
    <w:rsid w:val="00C53FAD"/>
    <w:rsid w:val="00C54400"/>
    <w:rsid w:val="00C54DAE"/>
    <w:rsid w:val="00C55CB1"/>
    <w:rsid w:val="00C56731"/>
    <w:rsid w:val="00C56BFA"/>
    <w:rsid w:val="00C570B7"/>
    <w:rsid w:val="00C5736F"/>
    <w:rsid w:val="00C57F0E"/>
    <w:rsid w:val="00C602FF"/>
    <w:rsid w:val="00C60397"/>
    <w:rsid w:val="00C60A78"/>
    <w:rsid w:val="00C61790"/>
    <w:rsid w:val="00C637F2"/>
    <w:rsid w:val="00C63B46"/>
    <w:rsid w:val="00C65C89"/>
    <w:rsid w:val="00C745F8"/>
    <w:rsid w:val="00C746FA"/>
    <w:rsid w:val="00C754C7"/>
    <w:rsid w:val="00C77BAF"/>
    <w:rsid w:val="00C8053F"/>
    <w:rsid w:val="00C81DF1"/>
    <w:rsid w:val="00C81E13"/>
    <w:rsid w:val="00C832A8"/>
    <w:rsid w:val="00C84688"/>
    <w:rsid w:val="00C86227"/>
    <w:rsid w:val="00C86537"/>
    <w:rsid w:val="00C90103"/>
    <w:rsid w:val="00C90B8E"/>
    <w:rsid w:val="00C92C1C"/>
    <w:rsid w:val="00C93053"/>
    <w:rsid w:val="00C93CBC"/>
    <w:rsid w:val="00C93F37"/>
    <w:rsid w:val="00C94320"/>
    <w:rsid w:val="00C95392"/>
    <w:rsid w:val="00C95AD7"/>
    <w:rsid w:val="00C95FDD"/>
    <w:rsid w:val="00C96213"/>
    <w:rsid w:val="00CA1476"/>
    <w:rsid w:val="00CA4643"/>
    <w:rsid w:val="00CA5564"/>
    <w:rsid w:val="00CA6174"/>
    <w:rsid w:val="00CA7EA1"/>
    <w:rsid w:val="00CB01B5"/>
    <w:rsid w:val="00CB04F4"/>
    <w:rsid w:val="00CB2152"/>
    <w:rsid w:val="00CB2FCD"/>
    <w:rsid w:val="00CB3D10"/>
    <w:rsid w:val="00CB4E1D"/>
    <w:rsid w:val="00CB4E7B"/>
    <w:rsid w:val="00CB5F7F"/>
    <w:rsid w:val="00CB6FCF"/>
    <w:rsid w:val="00CB7B68"/>
    <w:rsid w:val="00CC032D"/>
    <w:rsid w:val="00CC0521"/>
    <w:rsid w:val="00CC12C0"/>
    <w:rsid w:val="00CC353C"/>
    <w:rsid w:val="00CC5648"/>
    <w:rsid w:val="00CC635A"/>
    <w:rsid w:val="00CC6F6D"/>
    <w:rsid w:val="00CD0871"/>
    <w:rsid w:val="00CD1F8D"/>
    <w:rsid w:val="00CD2065"/>
    <w:rsid w:val="00CD2B85"/>
    <w:rsid w:val="00CD303A"/>
    <w:rsid w:val="00CD3432"/>
    <w:rsid w:val="00CD4382"/>
    <w:rsid w:val="00CD4DA4"/>
    <w:rsid w:val="00CD506F"/>
    <w:rsid w:val="00CD5236"/>
    <w:rsid w:val="00CD6F9F"/>
    <w:rsid w:val="00CD799E"/>
    <w:rsid w:val="00CE2C64"/>
    <w:rsid w:val="00CE4342"/>
    <w:rsid w:val="00CE4787"/>
    <w:rsid w:val="00CE4939"/>
    <w:rsid w:val="00CE4AAA"/>
    <w:rsid w:val="00CE6A12"/>
    <w:rsid w:val="00CE7DA8"/>
    <w:rsid w:val="00CF0648"/>
    <w:rsid w:val="00CF06DD"/>
    <w:rsid w:val="00CF1E57"/>
    <w:rsid w:val="00CF340C"/>
    <w:rsid w:val="00CF3BB1"/>
    <w:rsid w:val="00CF60D2"/>
    <w:rsid w:val="00CF6B74"/>
    <w:rsid w:val="00CF7D44"/>
    <w:rsid w:val="00D000CE"/>
    <w:rsid w:val="00D01B83"/>
    <w:rsid w:val="00D01EB7"/>
    <w:rsid w:val="00D05B97"/>
    <w:rsid w:val="00D07AA0"/>
    <w:rsid w:val="00D1264D"/>
    <w:rsid w:val="00D13530"/>
    <w:rsid w:val="00D14ABB"/>
    <w:rsid w:val="00D15957"/>
    <w:rsid w:val="00D1647A"/>
    <w:rsid w:val="00D17713"/>
    <w:rsid w:val="00D20024"/>
    <w:rsid w:val="00D2041A"/>
    <w:rsid w:val="00D21DA7"/>
    <w:rsid w:val="00D22D44"/>
    <w:rsid w:val="00D26504"/>
    <w:rsid w:val="00D272B0"/>
    <w:rsid w:val="00D30280"/>
    <w:rsid w:val="00D3072D"/>
    <w:rsid w:val="00D31D1A"/>
    <w:rsid w:val="00D33366"/>
    <w:rsid w:val="00D338E1"/>
    <w:rsid w:val="00D34E85"/>
    <w:rsid w:val="00D35E7E"/>
    <w:rsid w:val="00D3726B"/>
    <w:rsid w:val="00D4080B"/>
    <w:rsid w:val="00D42A90"/>
    <w:rsid w:val="00D42EA8"/>
    <w:rsid w:val="00D43F0C"/>
    <w:rsid w:val="00D44518"/>
    <w:rsid w:val="00D44AE5"/>
    <w:rsid w:val="00D474AF"/>
    <w:rsid w:val="00D47A2A"/>
    <w:rsid w:val="00D502C7"/>
    <w:rsid w:val="00D50C9A"/>
    <w:rsid w:val="00D51F54"/>
    <w:rsid w:val="00D5388E"/>
    <w:rsid w:val="00D544FB"/>
    <w:rsid w:val="00D546B6"/>
    <w:rsid w:val="00D54B0D"/>
    <w:rsid w:val="00D556C6"/>
    <w:rsid w:val="00D56BF5"/>
    <w:rsid w:val="00D5708F"/>
    <w:rsid w:val="00D571C6"/>
    <w:rsid w:val="00D61CA7"/>
    <w:rsid w:val="00D628C2"/>
    <w:rsid w:val="00D62A62"/>
    <w:rsid w:val="00D63A4D"/>
    <w:rsid w:val="00D64C1B"/>
    <w:rsid w:val="00D65A92"/>
    <w:rsid w:val="00D66246"/>
    <w:rsid w:val="00D707ED"/>
    <w:rsid w:val="00D70B36"/>
    <w:rsid w:val="00D72501"/>
    <w:rsid w:val="00D7368D"/>
    <w:rsid w:val="00D73C6D"/>
    <w:rsid w:val="00D73F49"/>
    <w:rsid w:val="00D76817"/>
    <w:rsid w:val="00D76A46"/>
    <w:rsid w:val="00D81C11"/>
    <w:rsid w:val="00D81D65"/>
    <w:rsid w:val="00D843D7"/>
    <w:rsid w:val="00D847F4"/>
    <w:rsid w:val="00D8566A"/>
    <w:rsid w:val="00D8599B"/>
    <w:rsid w:val="00D86279"/>
    <w:rsid w:val="00D903AA"/>
    <w:rsid w:val="00D904E7"/>
    <w:rsid w:val="00D90C26"/>
    <w:rsid w:val="00D92970"/>
    <w:rsid w:val="00D94D3E"/>
    <w:rsid w:val="00D95491"/>
    <w:rsid w:val="00D9635D"/>
    <w:rsid w:val="00D9734D"/>
    <w:rsid w:val="00DA1B86"/>
    <w:rsid w:val="00DA2392"/>
    <w:rsid w:val="00DA3165"/>
    <w:rsid w:val="00DA5D64"/>
    <w:rsid w:val="00DB030E"/>
    <w:rsid w:val="00DB1041"/>
    <w:rsid w:val="00DB2378"/>
    <w:rsid w:val="00DB292B"/>
    <w:rsid w:val="00DB45BD"/>
    <w:rsid w:val="00DB54E4"/>
    <w:rsid w:val="00DB5610"/>
    <w:rsid w:val="00DB71D0"/>
    <w:rsid w:val="00DB7440"/>
    <w:rsid w:val="00DC1007"/>
    <w:rsid w:val="00DC2943"/>
    <w:rsid w:val="00DC3743"/>
    <w:rsid w:val="00DC5076"/>
    <w:rsid w:val="00DC53D3"/>
    <w:rsid w:val="00DC5C30"/>
    <w:rsid w:val="00DD234C"/>
    <w:rsid w:val="00DD2610"/>
    <w:rsid w:val="00DD3C36"/>
    <w:rsid w:val="00DD5866"/>
    <w:rsid w:val="00DD5E3F"/>
    <w:rsid w:val="00DD6A0D"/>
    <w:rsid w:val="00DD7896"/>
    <w:rsid w:val="00DD7E79"/>
    <w:rsid w:val="00DE1283"/>
    <w:rsid w:val="00DE25B9"/>
    <w:rsid w:val="00DE35BB"/>
    <w:rsid w:val="00DE408F"/>
    <w:rsid w:val="00DE7466"/>
    <w:rsid w:val="00DE74EF"/>
    <w:rsid w:val="00DE765E"/>
    <w:rsid w:val="00DF0750"/>
    <w:rsid w:val="00DF0B03"/>
    <w:rsid w:val="00DF1C20"/>
    <w:rsid w:val="00DF2748"/>
    <w:rsid w:val="00DF3608"/>
    <w:rsid w:val="00DF3ABC"/>
    <w:rsid w:val="00DF46AC"/>
    <w:rsid w:val="00DF72BE"/>
    <w:rsid w:val="00E00239"/>
    <w:rsid w:val="00E03011"/>
    <w:rsid w:val="00E03B14"/>
    <w:rsid w:val="00E04C2B"/>
    <w:rsid w:val="00E0772D"/>
    <w:rsid w:val="00E1084A"/>
    <w:rsid w:val="00E125E2"/>
    <w:rsid w:val="00E127AC"/>
    <w:rsid w:val="00E127E0"/>
    <w:rsid w:val="00E133C5"/>
    <w:rsid w:val="00E13C94"/>
    <w:rsid w:val="00E13CFD"/>
    <w:rsid w:val="00E15B9A"/>
    <w:rsid w:val="00E17905"/>
    <w:rsid w:val="00E17EFC"/>
    <w:rsid w:val="00E2000C"/>
    <w:rsid w:val="00E21B34"/>
    <w:rsid w:val="00E23C4B"/>
    <w:rsid w:val="00E24C81"/>
    <w:rsid w:val="00E270CE"/>
    <w:rsid w:val="00E30F8A"/>
    <w:rsid w:val="00E35138"/>
    <w:rsid w:val="00E35AB7"/>
    <w:rsid w:val="00E37340"/>
    <w:rsid w:val="00E37B7A"/>
    <w:rsid w:val="00E40327"/>
    <w:rsid w:val="00E430AF"/>
    <w:rsid w:val="00E4324B"/>
    <w:rsid w:val="00E43975"/>
    <w:rsid w:val="00E43B42"/>
    <w:rsid w:val="00E44A33"/>
    <w:rsid w:val="00E4555C"/>
    <w:rsid w:val="00E46797"/>
    <w:rsid w:val="00E47E13"/>
    <w:rsid w:val="00E5135D"/>
    <w:rsid w:val="00E5144C"/>
    <w:rsid w:val="00E53D27"/>
    <w:rsid w:val="00E54156"/>
    <w:rsid w:val="00E553E5"/>
    <w:rsid w:val="00E573CE"/>
    <w:rsid w:val="00E5788E"/>
    <w:rsid w:val="00E6153C"/>
    <w:rsid w:val="00E62006"/>
    <w:rsid w:val="00E6207D"/>
    <w:rsid w:val="00E636B9"/>
    <w:rsid w:val="00E63FDB"/>
    <w:rsid w:val="00E6532C"/>
    <w:rsid w:val="00E6692B"/>
    <w:rsid w:val="00E70065"/>
    <w:rsid w:val="00E70A23"/>
    <w:rsid w:val="00E7118D"/>
    <w:rsid w:val="00E7126A"/>
    <w:rsid w:val="00E717F7"/>
    <w:rsid w:val="00E7206A"/>
    <w:rsid w:val="00E72B8E"/>
    <w:rsid w:val="00E75295"/>
    <w:rsid w:val="00E759B8"/>
    <w:rsid w:val="00E76585"/>
    <w:rsid w:val="00E770E4"/>
    <w:rsid w:val="00E81794"/>
    <w:rsid w:val="00E83603"/>
    <w:rsid w:val="00E86023"/>
    <w:rsid w:val="00E87D8E"/>
    <w:rsid w:val="00E925F1"/>
    <w:rsid w:val="00E92BBA"/>
    <w:rsid w:val="00E931F9"/>
    <w:rsid w:val="00E9387A"/>
    <w:rsid w:val="00E94B1B"/>
    <w:rsid w:val="00E95BA1"/>
    <w:rsid w:val="00E965F0"/>
    <w:rsid w:val="00EA0CF1"/>
    <w:rsid w:val="00EA359A"/>
    <w:rsid w:val="00EA4467"/>
    <w:rsid w:val="00EA5103"/>
    <w:rsid w:val="00EA798D"/>
    <w:rsid w:val="00EA7B73"/>
    <w:rsid w:val="00EB0CF1"/>
    <w:rsid w:val="00EB4148"/>
    <w:rsid w:val="00EB430C"/>
    <w:rsid w:val="00EB4C22"/>
    <w:rsid w:val="00EB6CC8"/>
    <w:rsid w:val="00EC07EA"/>
    <w:rsid w:val="00EC12E0"/>
    <w:rsid w:val="00EC1C75"/>
    <w:rsid w:val="00EC1D01"/>
    <w:rsid w:val="00EC4770"/>
    <w:rsid w:val="00EC54E8"/>
    <w:rsid w:val="00EC55A8"/>
    <w:rsid w:val="00ED1335"/>
    <w:rsid w:val="00ED18EB"/>
    <w:rsid w:val="00ED48A8"/>
    <w:rsid w:val="00ED4F16"/>
    <w:rsid w:val="00ED524E"/>
    <w:rsid w:val="00ED7321"/>
    <w:rsid w:val="00EE0059"/>
    <w:rsid w:val="00EE0AEA"/>
    <w:rsid w:val="00EE1802"/>
    <w:rsid w:val="00EE1C77"/>
    <w:rsid w:val="00EE3B21"/>
    <w:rsid w:val="00EE47E7"/>
    <w:rsid w:val="00EE483D"/>
    <w:rsid w:val="00EE56B7"/>
    <w:rsid w:val="00EE716B"/>
    <w:rsid w:val="00EE79DF"/>
    <w:rsid w:val="00EF1D77"/>
    <w:rsid w:val="00EF2C03"/>
    <w:rsid w:val="00EF559A"/>
    <w:rsid w:val="00F027EA"/>
    <w:rsid w:val="00F03008"/>
    <w:rsid w:val="00F0444D"/>
    <w:rsid w:val="00F04C81"/>
    <w:rsid w:val="00F05690"/>
    <w:rsid w:val="00F062A7"/>
    <w:rsid w:val="00F072FD"/>
    <w:rsid w:val="00F10FF5"/>
    <w:rsid w:val="00F11193"/>
    <w:rsid w:val="00F162A0"/>
    <w:rsid w:val="00F1643A"/>
    <w:rsid w:val="00F16A66"/>
    <w:rsid w:val="00F1721A"/>
    <w:rsid w:val="00F20D19"/>
    <w:rsid w:val="00F21476"/>
    <w:rsid w:val="00F21F62"/>
    <w:rsid w:val="00F22A8F"/>
    <w:rsid w:val="00F22D48"/>
    <w:rsid w:val="00F23257"/>
    <w:rsid w:val="00F24813"/>
    <w:rsid w:val="00F3188C"/>
    <w:rsid w:val="00F34AA9"/>
    <w:rsid w:val="00F35B9D"/>
    <w:rsid w:val="00F36CFE"/>
    <w:rsid w:val="00F413BC"/>
    <w:rsid w:val="00F442EA"/>
    <w:rsid w:val="00F44B65"/>
    <w:rsid w:val="00F45592"/>
    <w:rsid w:val="00F4731F"/>
    <w:rsid w:val="00F50D1B"/>
    <w:rsid w:val="00F5173F"/>
    <w:rsid w:val="00F51DA1"/>
    <w:rsid w:val="00F562BC"/>
    <w:rsid w:val="00F578F2"/>
    <w:rsid w:val="00F61EC2"/>
    <w:rsid w:val="00F62D21"/>
    <w:rsid w:val="00F6438D"/>
    <w:rsid w:val="00F64621"/>
    <w:rsid w:val="00F64834"/>
    <w:rsid w:val="00F649DB"/>
    <w:rsid w:val="00F673AB"/>
    <w:rsid w:val="00F716AD"/>
    <w:rsid w:val="00F71F94"/>
    <w:rsid w:val="00F7218E"/>
    <w:rsid w:val="00F73B9F"/>
    <w:rsid w:val="00F75651"/>
    <w:rsid w:val="00F7716A"/>
    <w:rsid w:val="00F77881"/>
    <w:rsid w:val="00F77D99"/>
    <w:rsid w:val="00F77E06"/>
    <w:rsid w:val="00F77EE1"/>
    <w:rsid w:val="00F80343"/>
    <w:rsid w:val="00F81660"/>
    <w:rsid w:val="00F817C4"/>
    <w:rsid w:val="00F81AFD"/>
    <w:rsid w:val="00F82D9E"/>
    <w:rsid w:val="00F839B1"/>
    <w:rsid w:val="00F84BAB"/>
    <w:rsid w:val="00F8540C"/>
    <w:rsid w:val="00F856E7"/>
    <w:rsid w:val="00F857A5"/>
    <w:rsid w:val="00F85DA4"/>
    <w:rsid w:val="00F86140"/>
    <w:rsid w:val="00F87180"/>
    <w:rsid w:val="00F906DD"/>
    <w:rsid w:val="00F93789"/>
    <w:rsid w:val="00F9609C"/>
    <w:rsid w:val="00F9641D"/>
    <w:rsid w:val="00FA05AE"/>
    <w:rsid w:val="00FA11C8"/>
    <w:rsid w:val="00FA164C"/>
    <w:rsid w:val="00FA16C2"/>
    <w:rsid w:val="00FA23D2"/>
    <w:rsid w:val="00FA2979"/>
    <w:rsid w:val="00FA4362"/>
    <w:rsid w:val="00FB0017"/>
    <w:rsid w:val="00FB15FC"/>
    <w:rsid w:val="00FB450D"/>
    <w:rsid w:val="00FB5C6E"/>
    <w:rsid w:val="00FB7344"/>
    <w:rsid w:val="00FC0114"/>
    <w:rsid w:val="00FC0B4F"/>
    <w:rsid w:val="00FC211A"/>
    <w:rsid w:val="00FC4D32"/>
    <w:rsid w:val="00FC53E5"/>
    <w:rsid w:val="00FC62EC"/>
    <w:rsid w:val="00FD19BC"/>
    <w:rsid w:val="00FD1C5D"/>
    <w:rsid w:val="00FD2A1A"/>
    <w:rsid w:val="00FD3717"/>
    <w:rsid w:val="00FD5B59"/>
    <w:rsid w:val="00FD710C"/>
    <w:rsid w:val="00FE075F"/>
    <w:rsid w:val="00FE205A"/>
    <w:rsid w:val="00FE2DE7"/>
    <w:rsid w:val="00FE33A6"/>
    <w:rsid w:val="00FE41AD"/>
    <w:rsid w:val="00FE5AD4"/>
    <w:rsid w:val="00FE5FA2"/>
    <w:rsid w:val="00FE6AD2"/>
    <w:rsid w:val="00FE7209"/>
    <w:rsid w:val="00FE75CB"/>
    <w:rsid w:val="00FE76BE"/>
    <w:rsid w:val="00FF0384"/>
    <w:rsid w:val="00FF0A90"/>
    <w:rsid w:val="00FF4476"/>
    <w:rsid w:val="00FF5E20"/>
    <w:rsid w:val="00FF66BD"/>
    <w:rsid w:val="00FF6B5D"/>
    <w:rsid w:val="00FF6C8F"/>
    <w:rsid w:val="00FF7ED4"/>
    <w:rsid w:val="012B4B1B"/>
    <w:rsid w:val="024B463A"/>
    <w:rsid w:val="047A5D8D"/>
    <w:rsid w:val="05872D64"/>
    <w:rsid w:val="065823F0"/>
    <w:rsid w:val="09910E44"/>
    <w:rsid w:val="0EA16A38"/>
    <w:rsid w:val="0EF929D9"/>
    <w:rsid w:val="0F202E96"/>
    <w:rsid w:val="110D6392"/>
    <w:rsid w:val="12746007"/>
    <w:rsid w:val="13AE4F82"/>
    <w:rsid w:val="15AD47C5"/>
    <w:rsid w:val="1A7A033C"/>
    <w:rsid w:val="1CB9293D"/>
    <w:rsid w:val="1D4F473B"/>
    <w:rsid w:val="205D1EAD"/>
    <w:rsid w:val="299F38FC"/>
    <w:rsid w:val="29AA0D95"/>
    <w:rsid w:val="29B54054"/>
    <w:rsid w:val="2D0D0136"/>
    <w:rsid w:val="2EE261A8"/>
    <w:rsid w:val="31451D82"/>
    <w:rsid w:val="324101E2"/>
    <w:rsid w:val="3A7C5E4C"/>
    <w:rsid w:val="3B767F00"/>
    <w:rsid w:val="3C7137CF"/>
    <w:rsid w:val="3F0071D7"/>
    <w:rsid w:val="44814510"/>
    <w:rsid w:val="45005067"/>
    <w:rsid w:val="4517057D"/>
    <w:rsid w:val="474140DE"/>
    <w:rsid w:val="486A27A6"/>
    <w:rsid w:val="492D6B95"/>
    <w:rsid w:val="49C26560"/>
    <w:rsid w:val="4AD917DF"/>
    <w:rsid w:val="4DDC40A8"/>
    <w:rsid w:val="4DE63590"/>
    <w:rsid w:val="51CE3B85"/>
    <w:rsid w:val="54474CB9"/>
    <w:rsid w:val="54E7132C"/>
    <w:rsid w:val="562D07D0"/>
    <w:rsid w:val="59F7427D"/>
    <w:rsid w:val="5D943A23"/>
    <w:rsid w:val="60DA0BE7"/>
    <w:rsid w:val="61092CE6"/>
    <w:rsid w:val="61A71DB7"/>
    <w:rsid w:val="68CB2588"/>
    <w:rsid w:val="6A2633D5"/>
    <w:rsid w:val="6A66282C"/>
    <w:rsid w:val="6F2F0073"/>
    <w:rsid w:val="772464D5"/>
    <w:rsid w:val="78D52782"/>
    <w:rsid w:val="79247842"/>
    <w:rsid w:val="7AA25287"/>
    <w:rsid w:val="7CF96A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ocked="1"/>
    <w:lsdException w:qFormat="1" w:unhideWhenUsed="0" w:uiPriority="39" w:semiHidden="0" w:name="toc 2" w:locked="1"/>
    <w:lsdException w:qFormat="1" w:unhideWhenUsed="0" w:uiPriority="9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37"/>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8"/>
    <w:qFormat/>
    <w:locked/>
    <w:uiPriority w:val="99"/>
    <w:pPr>
      <w:keepNext/>
      <w:keepLines/>
      <w:spacing w:before="260" w:after="260" w:line="416" w:lineRule="auto"/>
      <w:ind w:left="425"/>
      <w:outlineLvl w:val="2"/>
    </w:pPr>
    <w:rPr>
      <w:rFonts w:ascii="Arial" w:hAnsi="Arial" w:cs="宋体"/>
      <w:b/>
      <w:bCs/>
      <w:sz w:val="32"/>
      <w:szCs w:val="32"/>
    </w:rPr>
  </w:style>
  <w:style w:type="paragraph" w:styleId="5">
    <w:name w:val="heading 4"/>
    <w:basedOn w:val="1"/>
    <w:next w:val="1"/>
    <w:link w:val="39"/>
    <w:qFormat/>
    <w:locked/>
    <w:uiPriority w:val="99"/>
    <w:pPr>
      <w:keepNext/>
      <w:keepLines/>
      <w:spacing w:before="280" w:after="290" w:line="376" w:lineRule="auto"/>
      <w:ind w:left="425"/>
      <w:outlineLvl w:val="3"/>
    </w:pPr>
    <w:rPr>
      <w:rFonts w:ascii="Cambria" w:hAnsi="Cambria"/>
      <w:b/>
      <w:bCs/>
      <w:sz w:val="28"/>
      <w:szCs w:val="28"/>
    </w:rPr>
  </w:style>
  <w:style w:type="paragraph" w:styleId="6">
    <w:name w:val="heading 5"/>
    <w:basedOn w:val="1"/>
    <w:next w:val="1"/>
    <w:link w:val="40"/>
    <w:qFormat/>
    <w:locked/>
    <w:uiPriority w:val="99"/>
    <w:pPr>
      <w:keepNext/>
      <w:keepLines/>
      <w:spacing w:before="120" w:after="120"/>
      <w:outlineLvl w:val="4"/>
    </w:pPr>
    <w:rPr>
      <w:rFonts w:ascii="Calibri" w:hAnsi="Calibri" w:eastAsia="微软雅黑"/>
      <w:b/>
      <w:bCs/>
      <w:sz w:val="24"/>
      <w:szCs w:val="28"/>
    </w:rPr>
  </w:style>
  <w:style w:type="paragraph" w:styleId="7">
    <w:name w:val="heading 6"/>
    <w:basedOn w:val="1"/>
    <w:next w:val="1"/>
    <w:link w:val="41"/>
    <w:qFormat/>
    <w:locked/>
    <w:uiPriority w:val="99"/>
    <w:pPr>
      <w:keepNext/>
      <w:keepLines/>
      <w:spacing w:after="120"/>
      <w:outlineLvl w:val="5"/>
    </w:pPr>
    <w:rPr>
      <w:rFonts w:ascii="Cambria" w:hAnsi="Cambria"/>
      <w:b/>
      <w:bCs/>
      <w:sz w:val="24"/>
    </w:rPr>
  </w:style>
  <w:style w:type="paragraph" w:styleId="8">
    <w:name w:val="heading 7"/>
    <w:basedOn w:val="1"/>
    <w:next w:val="1"/>
    <w:link w:val="42"/>
    <w:qFormat/>
    <w:locked/>
    <w:uiPriority w:val="99"/>
    <w:pPr>
      <w:keepNext/>
      <w:keepLines/>
      <w:spacing w:before="240" w:after="64" w:line="320" w:lineRule="auto"/>
      <w:ind w:left="1296" w:hanging="1296"/>
      <w:outlineLvl w:val="6"/>
    </w:pPr>
    <w:rPr>
      <w:rFonts w:ascii="Calibri" w:hAnsi="Calibri"/>
      <w:b/>
      <w:bCs/>
      <w:sz w:val="24"/>
    </w:rPr>
  </w:style>
  <w:style w:type="paragraph" w:styleId="9">
    <w:name w:val="heading 8"/>
    <w:basedOn w:val="1"/>
    <w:next w:val="1"/>
    <w:link w:val="43"/>
    <w:qFormat/>
    <w:locked/>
    <w:uiPriority w:val="99"/>
    <w:pPr>
      <w:keepNext/>
      <w:keepLines/>
      <w:spacing w:before="240" w:after="64" w:line="320" w:lineRule="auto"/>
      <w:ind w:left="1440" w:hanging="1440"/>
      <w:outlineLvl w:val="7"/>
    </w:pPr>
    <w:rPr>
      <w:rFonts w:ascii="Calibri Light" w:hAnsi="Calibri Light"/>
      <w:sz w:val="24"/>
    </w:rPr>
  </w:style>
  <w:style w:type="paragraph" w:styleId="10">
    <w:name w:val="heading 9"/>
    <w:basedOn w:val="1"/>
    <w:next w:val="1"/>
    <w:link w:val="44"/>
    <w:qFormat/>
    <w:locked/>
    <w:uiPriority w:val="99"/>
    <w:pPr>
      <w:widowControl/>
      <w:spacing w:after="120" w:line="252" w:lineRule="auto"/>
      <w:ind w:left="1584" w:hanging="1584"/>
      <w:jc w:val="center"/>
      <w:outlineLvl w:val="8"/>
    </w:pPr>
    <w:rPr>
      <w:rFonts w:ascii="Cambria" w:hAnsi="Cambria"/>
      <w:i/>
      <w:iCs/>
      <w:caps/>
      <w:spacing w:val="10"/>
      <w:kern w:val="0"/>
      <w:sz w:val="20"/>
      <w:szCs w:val="20"/>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99"/>
    <w:pPr>
      <w:adjustRightInd w:val="0"/>
      <w:spacing w:line="360" w:lineRule="auto"/>
      <w:ind w:firstLine="540" w:firstLineChars="225"/>
      <w:textAlignment w:val="baseline"/>
    </w:pPr>
    <w:rPr>
      <w:rFonts w:ascii="Calibri" w:hAnsi="Calibri"/>
      <w:kern w:val="0"/>
      <w:sz w:val="24"/>
      <w:szCs w:val="20"/>
    </w:rPr>
  </w:style>
  <w:style w:type="paragraph" w:styleId="12">
    <w:name w:val="Document Map"/>
    <w:basedOn w:val="1"/>
    <w:link w:val="45"/>
    <w:semiHidden/>
    <w:qFormat/>
    <w:uiPriority w:val="99"/>
    <w:pPr>
      <w:shd w:val="clear" w:color="auto" w:fill="000080"/>
    </w:pPr>
    <w:rPr>
      <w:kern w:val="0"/>
      <w:sz w:val="2"/>
      <w:szCs w:val="20"/>
    </w:rPr>
  </w:style>
  <w:style w:type="paragraph" w:styleId="13">
    <w:name w:val="annotation text"/>
    <w:basedOn w:val="1"/>
    <w:link w:val="76"/>
    <w:unhideWhenUsed/>
    <w:qFormat/>
    <w:locked/>
    <w:uiPriority w:val="0"/>
    <w:pPr>
      <w:jc w:val="left"/>
    </w:pPr>
  </w:style>
  <w:style w:type="paragraph" w:styleId="14">
    <w:name w:val="Body Text"/>
    <w:basedOn w:val="1"/>
    <w:link w:val="46"/>
    <w:qFormat/>
    <w:uiPriority w:val="99"/>
    <w:pPr>
      <w:spacing w:after="120"/>
    </w:pPr>
    <w:rPr>
      <w:sz w:val="24"/>
      <w:szCs w:val="20"/>
    </w:rPr>
  </w:style>
  <w:style w:type="paragraph" w:styleId="15">
    <w:name w:val="Body Text Indent"/>
    <w:basedOn w:val="1"/>
    <w:link w:val="80"/>
    <w:qFormat/>
    <w:locked/>
    <w:uiPriority w:val="0"/>
    <w:pPr>
      <w:spacing w:after="120"/>
      <w:ind w:left="420" w:leftChars="200"/>
    </w:pPr>
  </w:style>
  <w:style w:type="paragraph" w:styleId="16">
    <w:name w:val="toc 3"/>
    <w:basedOn w:val="1"/>
    <w:next w:val="1"/>
    <w:qFormat/>
    <w:locked/>
    <w:uiPriority w:val="99"/>
    <w:pPr>
      <w:ind w:left="840" w:leftChars="400"/>
    </w:pPr>
    <w:rPr>
      <w:rFonts w:ascii="Calibri" w:hAnsi="Calibri"/>
      <w:szCs w:val="22"/>
    </w:rPr>
  </w:style>
  <w:style w:type="paragraph" w:styleId="17">
    <w:name w:val="Plain Text"/>
    <w:basedOn w:val="1"/>
    <w:link w:val="47"/>
    <w:qFormat/>
    <w:uiPriority w:val="99"/>
    <w:pPr>
      <w:jc w:val="left"/>
    </w:pPr>
    <w:rPr>
      <w:rFonts w:ascii="宋体" w:hAnsi="Courier New"/>
      <w:kern w:val="0"/>
      <w:szCs w:val="20"/>
    </w:rPr>
  </w:style>
  <w:style w:type="paragraph" w:styleId="18">
    <w:name w:val="Date"/>
    <w:basedOn w:val="1"/>
    <w:next w:val="1"/>
    <w:link w:val="48"/>
    <w:qFormat/>
    <w:uiPriority w:val="99"/>
    <w:pPr>
      <w:ind w:left="2500" w:leftChars="2500"/>
    </w:pPr>
    <w:rPr>
      <w:rFonts w:eastAsia="黑体"/>
      <w:kern w:val="0"/>
      <w:sz w:val="24"/>
      <w:szCs w:val="20"/>
    </w:rPr>
  </w:style>
  <w:style w:type="paragraph" w:styleId="19">
    <w:name w:val="Balloon Text"/>
    <w:basedOn w:val="1"/>
    <w:link w:val="49"/>
    <w:semiHidden/>
    <w:qFormat/>
    <w:uiPriority w:val="99"/>
    <w:rPr>
      <w:sz w:val="18"/>
      <w:szCs w:val="20"/>
    </w:rPr>
  </w:style>
  <w:style w:type="paragraph" w:styleId="20">
    <w:name w:val="footer"/>
    <w:basedOn w:val="1"/>
    <w:link w:val="50"/>
    <w:qFormat/>
    <w:uiPriority w:val="99"/>
    <w:pPr>
      <w:tabs>
        <w:tab w:val="center" w:pos="4153"/>
        <w:tab w:val="right" w:pos="8306"/>
      </w:tabs>
      <w:snapToGrid w:val="0"/>
      <w:jc w:val="left"/>
    </w:pPr>
    <w:rPr>
      <w:sz w:val="18"/>
      <w:szCs w:val="20"/>
    </w:rPr>
  </w:style>
  <w:style w:type="paragraph" w:styleId="21">
    <w:name w:val="header"/>
    <w:basedOn w:val="1"/>
    <w:link w:val="51"/>
    <w:qFormat/>
    <w:uiPriority w:val="99"/>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locked/>
    <w:uiPriority w:val="39"/>
  </w:style>
  <w:style w:type="paragraph" w:styleId="23">
    <w:name w:val="Body Text Indent 3"/>
    <w:basedOn w:val="1"/>
    <w:link w:val="81"/>
    <w:semiHidden/>
    <w:unhideWhenUsed/>
    <w:locked/>
    <w:uiPriority w:val="99"/>
    <w:pPr>
      <w:spacing w:after="120"/>
      <w:ind w:left="420" w:leftChars="200"/>
    </w:pPr>
    <w:rPr>
      <w:sz w:val="16"/>
      <w:szCs w:val="16"/>
    </w:rPr>
  </w:style>
  <w:style w:type="paragraph" w:styleId="24">
    <w:name w:val="toc 2"/>
    <w:basedOn w:val="1"/>
    <w:next w:val="1"/>
    <w:qFormat/>
    <w:locked/>
    <w:uiPriority w:val="39"/>
    <w:pPr>
      <w:ind w:left="420" w:leftChars="200"/>
    </w:pPr>
  </w:style>
  <w:style w:type="paragraph" w:styleId="25">
    <w:name w:val="Normal (Web)"/>
    <w:basedOn w:val="1"/>
    <w:qFormat/>
    <w:uiPriority w:val="0"/>
    <w:pPr>
      <w:widowControl/>
      <w:spacing w:before="100" w:beforeAutospacing="1" w:after="100" w:afterAutospacing="1"/>
      <w:jc w:val="left"/>
    </w:pPr>
    <w:rPr>
      <w:rFonts w:ascii="宋体" w:hAnsi="宋体"/>
      <w:color w:val="000000"/>
      <w:kern w:val="0"/>
      <w:sz w:val="18"/>
      <w:szCs w:val="18"/>
    </w:rPr>
  </w:style>
  <w:style w:type="paragraph" w:styleId="26">
    <w:name w:val="Title"/>
    <w:basedOn w:val="1"/>
    <w:next w:val="1"/>
    <w:link w:val="52"/>
    <w:qFormat/>
    <w:locked/>
    <w:uiPriority w:val="99"/>
    <w:pPr>
      <w:spacing w:before="240" w:after="60"/>
      <w:jc w:val="center"/>
      <w:outlineLvl w:val="0"/>
    </w:pPr>
    <w:rPr>
      <w:rFonts w:ascii="Cambria" w:hAnsi="Cambria"/>
      <w:b/>
      <w:bCs/>
      <w:sz w:val="32"/>
      <w:szCs w:val="32"/>
    </w:rPr>
  </w:style>
  <w:style w:type="paragraph" w:styleId="27">
    <w:name w:val="annotation subject"/>
    <w:basedOn w:val="13"/>
    <w:next w:val="13"/>
    <w:link w:val="77"/>
    <w:semiHidden/>
    <w:unhideWhenUsed/>
    <w:qFormat/>
    <w:locked/>
    <w:uiPriority w:val="99"/>
    <w:rPr>
      <w:b/>
      <w:bCs/>
    </w:rPr>
  </w:style>
  <w:style w:type="table" w:styleId="29">
    <w:name w:val="Table Grid"/>
    <w:basedOn w:val="2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Strong"/>
    <w:qFormat/>
    <w:locked/>
    <w:uiPriority w:val="22"/>
    <w:rPr>
      <w:rFonts w:cs="Times New Roman"/>
      <w:b/>
      <w:bCs/>
    </w:rPr>
  </w:style>
  <w:style w:type="character" w:styleId="32">
    <w:name w:val="page number"/>
    <w:qFormat/>
    <w:uiPriority w:val="99"/>
    <w:rPr>
      <w:rFonts w:cs="Times New Roman"/>
    </w:rPr>
  </w:style>
  <w:style w:type="character" w:styleId="33">
    <w:name w:val="FollowedHyperlink"/>
    <w:qFormat/>
    <w:uiPriority w:val="99"/>
    <w:rPr>
      <w:rFonts w:cs="Times New Roman"/>
      <w:color w:val="800080"/>
      <w:u w:val="single"/>
    </w:rPr>
  </w:style>
  <w:style w:type="character" w:styleId="34">
    <w:name w:val="Hyperlink"/>
    <w:qFormat/>
    <w:uiPriority w:val="99"/>
    <w:rPr>
      <w:rFonts w:cs="Times New Roman"/>
      <w:color w:val="0000FF"/>
      <w:u w:val="single"/>
    </w:rPr>
  </w:style>
  <w:style w:type="character" w:styleId="35">
    <w:name w:val="annotation reference"/>
    <w:semiHidden/>
    <w:unhideWhenUsed/>
    <w:qFormat/>
    <w:locked/>
    <w:uiPriority w:val="99"/>
    <w:rPr>
      <w:sz w:val="21"/>
      <w:szCs w:val="21"/>
    </w:rPr>
  </w:style>
  <w:style w:type="character" w:customStyle="1" w:styleId="36">
    <w:name w:val="标题 1 字符"/>
    <w:link w:val="2"/>
    <w:qFormat/>
    <w:locked/>
    <w:uiPriority w:val="99"/>
    <w:rPr>
      <w:b/>
      <w:kern w:val="44"/>
      <w:sz w:val="44"/>
    </w:rPr>
  </w:style>
  <w:style w:type="character" w:customStyle="1" w:styleId="37">
    <w:name w:val="标题 2 字符"/>
    <w:link w:val="3"/>
    <w:qFormat/>
    <w:locked/>
    <w:uiPriority w:val="0"/>
    <w:rPr>
      <w:rFonts w:ascii="Cambria" w:hAnsi="Cambria" w:eastAsia="宋体"/>
      <w:b/>
      <w:kern w:val="2"/>
      <w:sz w:val="32"/>
    </w:rPr>
  </w:style>
  <w:style w:type="character" w:customStyle="1" w:styleId="38">
    <w:name w:val="标题 3 字符"/>
    <w:link w:val="4"/>
    <w:qFormat/>
    <w:locked/>
    <w:uiPriority w:val="99"/>
    <w:rPr>
      <w:rFonts w:ascii="Arial" w:hAnsi="Arial" w:cs="宋体"/>
      <w:b/>
      <w:bCs/>
      <w:kern w:val="2"/>
      <w:sz w:val="32"/>
      <w:szCs w:val="32"/>
    </w:rPr>
  </w:style>
  <w:style w:type="character" w:customStyle="1" w:styleId="39">
    <w:name w:val="标题 4 字符"/>
    <w:link w:val="5"/>
    <w:qFormat/>
    <w:locked/>
    <w:uiPriority w:val="99"/>
    <w:rPr>
      <w:rFonts w:ascii="Cambria" w:hAnsi="Cambria" w:eastAsia="宋体" w:cs="Times New Roman"/>
      <w:b/>
      <w:bCs/>
      <w:kern w:val="2"/>
      <w:sz w:val="28"/>
      <w:szCs w:val="28"/>
    </w:rPr>
  </w:style>
  <w:style w:type="character" w:customStyle="1" w:styleId="40">
    <w:name w:val="标题 5 字符"/>
    <w:link w:val="6"/>
    <w:qFormat/>
    <w:locked/>
    <w:uiPriority w:val="99"/>
    <w:rPr>
      <w:rFonts w:ascii="Calibri" w:hAnsi="Calibri" w:eastAsia="微软雅黑" w:cs="Times New Roman"/>
      <w:b/>
      <w:bCs/>
      <w:kern w:val="2"/>
      <w:sz w:val="28"/>
      <w:szCs w:val="28"/>
    </w:rPr>
  </w:style>
  <w:style w:type="character" w:customStyle="1" w:styleId="41">
    <w:name w:val="标题 6 字符"/>
    <w:link w:val="7"/>
    <w:qFormat/>
    <w:locked/>
    <w:uiPriority w:val="99"/>
    <w:rPr>
      <w:rFonts w:ascii="Cambria" w:hAnsi="Cambria" w:cs="Times New Roman"/>
      <w:b/>
      <w:bCs/>
      <w:kern w:val="2"/>
      <w:sz w:val="24"/>
      <w:szCs w:val="24"/>
    </w:rPr>
  </w:style>
  <w:style w:type="character" w:customStyle="1" w:styleId="42">
    <w:name w:val="标题 7 字符"/>
    <w:link w:val="8"/>
    <w:qFormat/>
    <w:locked/>
    <w:uiPriority w:val="99"/>
    <w:rPr>
      <w:rFonts w:ascii="Calibri" w:hAnsi="Calibri" w:cs="Times New Roman"/>
      <w:b/>
      <w:bCs/>
      <w:kern w:val="2"/>
      <w:sz w:val="24"/>
      <w:szCs w:val="24"/>
    </w:rPr>
  </w:style>
  <w:style w:type="character" w:customStyle="1" w:styleId="43">
    <w:name w:val="标题 8 字符"/>
    <w:link w:val="9"/>
    <w:qFormat/>
    <w:locked/>
    <w:uiPriority w:val="99"/>
    <w:rPr>
      <w:rFonts w:ascii="Calibri Light" w:hAnsi="Calibri Light" w:cs="Times New Roman"/>
      <w:kern w:val="2"/>
      <w:sz w:val="24"/>
      <w:szCs w:val="24"/>
    </w:rPr>
  </w:style>
  <w:style w:type="character" w:customStyle="1" w:styleId="44">
    <w:name w:val="标题 9 字符"/>
    <w:link w:val="10"/>
    <w:qFormat/>
    <w:locked/>
    <w:uiPriority w:val="99"/>
    <w:rPr>
      <w:rFonts w:ascii="Cambria" w:hAnsi="Cambria" w:cs="Times New Roman"/>
      <w:i/>
      <w:iCs/>
      <w:caps/>
      <w:spacing w:val="10"/>
    </w:rPr>
  </w:style>
  <w:style w:type="character" w:customStyle="1" w:styleId="45">
    <w:name w:val="文档结构图 字符"/>
    <w:link w:val="12"/>
    <w:semiHidden/>
    <w:qFormat/>
    <w:locked/>
    <w:uiPriority w:val="99"/>
    <w:rPr>
      <w:sz w:val="2"/>
    </w:rPr>
  </w:style>
  <w:style w:type="character" w:customStyle="1" w:styleId="46">
    <w:name w:val="正文文本 字符"/>
    <w:link w:val="14"/>
    <w:qFormat/>
    <w:locked/>
    <w:uiPriority w:val="99"/>
    <w:rPr>
      <w:kern w:val="2"/>
      <w:sz w:val="24"/>
    </w:rPr>
  </w:style>
  <w:style w:type="character" w:customStyle="1" w:styleId="47">
    <w:name w:val="纯文本 字符"/>
    <w:link w:val="17"/>
    <w:semiHidden/>
    <w:qFormat/>
    <w:locked/>
    <w:uiPriority w:val="99"/>
    <w:rPr>
      <w:rFonts w:ascii="宋体" w:hAnsi="Courier New"/>
      <w:sz w:val="21"/>
    </w:rPr>
  </w:style>
  <w:style w:type="character" w:customStyle="1" w:styleId="48">
    <w:name w:val="日期 字符"/>
    <w:link w:val="18"/>
    <w:qFormat/>
    <w:locked/>
    <w:uiPriority w:val="99"/>
    <w:rPr>
      <w:rFonts w:eastAsia="黑体"/>
      <w:sz w:val="24"/>
    </w:rPr>
  </w:style>
  <w:style w:type="character" w:customStyle="1" w:styleId="49">
    <w:name w:val="批注框文本 字符"/>
    <w:link w:val="19"/>
    <w:semiHidden/>
    <w:qFormat/>
    <w:locked/>
    <w:uiPriority w:val="99"/>
    <w:rPr>
      <w:kern w:val="2"/>
      <w:sz w:val="18"/>
    </w:rPr>
  </w:style>
  <w:style w:type="character" w:customStyle="1" w:styleId="50">
    <w:name w:val="页脚 字符"/>
    <w:link w:val="20"/>
    <w:qFormat/>
    <w:locked/>
    <w:uiPriority w:val="99"/>
    <w:rPr>
      <w:kern w:val="2"/>
      <w:sz w:val="18"/>
    </w:rPr>
  </w:style>
  <w:style w:type="character" w:customStyle="1" w:styleId="51">
    <w:name w:val="页眉 字符"/>
    <w:link w:val="21"/>
    <w:qFormat/>
    <w:locked/>
    <w:uiPriority w:val="99"/>
    <w:rPr>
      <w:kern w:val="2"/>
      <w:sz w:val="18"/>
    </w:rPr>
  </w:style>
  <w:style w:type="character" w:customStyle="1" w:styleId="52">
    <w:name w:val="标题 字符"/>
    <w:link w:val="26"/>
    <w:qFormat/>
    <w:locked/>
    <w:uiPriority w:val="99"/>
    <w:rPr>
      <w:rFonts w:ascii="Cambria" w:hAnsi="Cambria" w:cs="Times New Roman"/>
      <w:b/>
      <w:bCs/>
      <w:kern w:val="2"/>
      <w:sz w:val="32"/>
      <w:szCs w:val="32"/>
    </w:rPr>
  </w:style>
  <w:style w:type="paragraph" w:customStyle="1" w:styleId="53">
    <w:name w:val="此正文"/>
    <w:basedOn w:val="1"/>
    <w:qFormat/>
    <w:uiPriority w:val="99"/>
    <w:pPr>
      <w:spacing w:line="360" w:lineRule="auto"/>
      <w:ind w:firstLine="200" w:firstLineChars="200"/>
    </w:pPr>
    <w:rPr>
      <w:sz w:val="24"/>
      <w:szCs w:val="20"/>
    </w:rPr>
  </w:style>
  <w:style w:type="paragraph" w:customStyle="1" w:styleId="54">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55">
    <w:name w:val="Char Char Char Char Char Char Char"/>
    <w:basedOn w:val="1"/>
    <w:semiHidden/>
    <w:qFormat/>
    <w:uiPriority w:val="99"/>
    <w:rPr>
      <w:rFonts w:ascii="Tahoma" w:hAnsi="Tahoma" w:cs="仿宋_GB2312"/>
      <w:sz w:val="24"/>
      <w:szCs w:val="28"/>
    </w:rPr>
  </w:style>
  <w:style w:type="paragraph" w:customStyle="1" w:styleId="56">
    <w:name w:val="Char Char Char Char"/>
    <w:basedOn w:val="12"/>
    <w:qFormat/>
    <w:uiPriority w:val="99"/>
    <w:pPr>
      <w:adjustRightInd w:val="0"/>
      <w:snapToGrid w:val="0"/>
      <w:spacing w:line="360" w:lineRule="auto"/>
    </w:pPr>
    <w:rPr>
      <w:rFonts w:ascii="Tahoma" w:hAnsi="Tahoma"/>
      <w:sz w:val="24"/>
    </w:rPr>
  </w:style>
  <w:style w:type="paragraph" w:customStyle="1" w:styleId="5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58">
    <w:name w:val="List Paragraph"/>
    <w:basedOn w:val="1"/>
    <w:link w:val="60"/>
    <w:qFormat/>
    <w:uiPriority w:val="99"/>
    <w:pPr>
      <w:ind w:firstLine="420" w:firstLineChars="200"/>
    </w:pPr>
  </w:style>
  <w:style w:type="paragraph" w:customStyle="1" w:styleId="59">
    <w:name w:val="TOC Heading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60">
    <w:name w:val="列出段落 字符"/>
    <w:link w:val="58"/>
    <w:qFormat/>
    <w:locked/>
    <w:uiPriority w:val="99"/>
    <w:rPr>
      <w:kern w:val="2"/>
      <w:sz w:val="24"/>
    </w:rPr>
  </w:style>
  <w:style w:type="paragraph" w:customStyle="1" w:styleId="61">
    <w:name w:val="样式 首行缩进:  0 字符"/>
    <w:basedOn w:val="1"/>
    <w:link w:val="62"/>
    <w:qFormat/>
    <w:uiPriority w:val="99"/>
    <w:pPr>
      <w:spacing w:line="360" w:lineRule="auto"/>
      <w:ind w:firstLine="200" w:firstLineChars="200"/>
    </w:pPr>
    <w:rPr>
      <w:rFonts w:ascii="Arial" w:hAnsi="Arial"/>
      <w:sz w:val="24"/>
      <w:szCs w:val="20"/>
    </w:rPr>
  </w:style>
  <w:style w:type="character" w:customStyle="1" w:styleId="62">
    <w:name w:val="样式 首行缩进:  0 字符 Char"/>
    <w:link w:val="61"/>
    <w:qFormat/>
    <w:locked/>
    <w:uiPriority w:val="99"/>
    <w:rPr>
      <w:rFonts w:ascii="Arial" w:hAnsi="Arial"/>
      <w:kern w:val="2"/>
      <w:sz w:val="24"/>
    </w:rPr>
  </w:style>
  <w:style w:type="paragraph" w:styleId="63">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4">
    <w:name w:val="页眉 字符1"/>
    <w:qFormat/>
    <w:uiPriority w:val="99"/>
    <w:rPr>
      <w:rFonts w:ascii="Arial" w:hAnsi="Arial" w:eastAsia="宋体" w:cs="宋体"/>
      <w:sz w:val="18"/>
      <w:szCs w:val="18"/>
    </w:rPr>
  </w:style>
  <w:style w:type="character" w:customStyle="1" w:styleId="65">
    <w:name w:val="标题 1 字符1"/>
    <w:qFormat/>
    <w:uiPriority w:val="99"/>
    <w:rPr>
      <w:rFonts w:ascii="Arial" w:hAnsi="Arial" w:eastAsia="宋体" w:cs="宋体"/>
      <w:b/>
      <w:bCs/>
      <w:kern w:val="44"/>
      <w:sz w:val="44"/>
      <w:szCs w:val="44"/>
    </w:rPr>
  </w:style>
  <w:style w:type="paragraph" w:customStyle="1" w:styleId="66">
    <w:name w:val="GP正文(首行缩进)"/>
    <w:basedOn w:val="1"/>
    <w:qFormat/>
    <w:uiPriority w:val="99"/>
    <w:pPr>
      <w:spacing w:line="360" w:lineRule="auto"/>
      <w:ind w:firstLine="200" w:firstLineChars="200"/>
      <w:jc w:val="left"/>
    </w:pPr>
    <w:rPr>
      <w:szCs w:val="21"/>
    </w:rPr>
  </w:style>
  <w:style w:type="table" w:customStyle="1" w:styleId="67">
    <w:name w:val="网格型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8">
    <w:name w:val="标题 2 Char1"/>
    <w:qFormat/>
    <w:uiPriority w:val="99"/>
    <w:rPr>
      <w:rFonts w:ascii="Cambria" w:hAnsi="Cambria" w:eastAsia="微软雅黑" w:cs="Times New Roman"/>
      <w:b/>
      <w:bCs/>
      <w:sz w:val="32"/>
      <w:szCs w:val="32"/>
    </w:rPr>
  </w:style>
  <w:style w:type="character" w:customStyle="1" w:styleId="69">
    <w:name w:val="font01"/>
    <w:qFormat/>
    <w:uiPriority w:val="99"/>
    <w:rPr>
      <w:rFonts w:ascii="宋体" w:hAnsi="宋体" w:eastAsia="宋体" w:cs="宋体"/>
      <w:color w:val="000000"/>
      <w:sz w:val="20"/>
      <w:szCs w:val="20"/>
      <w:u w:val="none"/>
    </w:rPr>
  </w:style>
  <w:style w:type="character" w:customStyle="1" w:styleId="70">
    <w:name w:val="font41"/>
    <w:qFormat/>
    <w:uiPriority w:val="99"/>
    <w:rPr>
      <w:rFonts w:ascii="宋体" w:hAnsi="宋体" w:eastAsia="宋体" w:cs="宋体"/>
      <w:color w:val="FF0000"/>
      <w:sz w:val="18"/>
      <w:szCs w:val="18"/>
      <w:u w:val="none"/>
    </w:rPr>
  </w:style>
  <w:style w:type="character" w:customStyle="1" w:styleId="71">
    <w:name w:val="font51"/>
    <w:qFormat/>
    <w:uiPriority w:val="99"/>
    <w:rPr>
      <w:rFonts w:ascii="宋体" w:hAnsi="宋体" w:eastAsia="宋体" w:cs="宋体"/>
      <w:color w:val="0070C0"/>
      <w:sz w:val="18"/>
      <w:szCs w:val="18"/>
      <w:u w:val="none"/>
    </w:rPr>
  </w:style>
  <w:style w:type="paragraph" w:customStyle="1" w:styleId="72">
    <w:name w:val="Char Char3 Char Char"/>
    <w:basedOn w:val="1"/>
    <w:qFormat/>
    <w:uiPriority w:val="99"/>
    <w:pPr>
      <w:widowControl/>
      <w:spacing w:after="160" w:line="240" w:lineRule="exact"/>
      <w:jc w:val="left"/>
    </w:pPr>
    <w:rPr>
      <w:rFonts w:ascii="Verdana" w:hAnsi="Verdana"/>
      <w:kern w:val="0"/>
      <w:szCs w:val="20"/>
    </w:rPr>
  </w:style>
  <w:style w:type="character" w:customStyle="1" w:styleId="73">
    <w:name w:val="font71"/>
    <w:qFormat/>
    <w:uiPriority w:val="99"/>
    <w:rPr>
      <w:rFonts w:ascii="微软雅黑" w:hAnsi="微软雅黑" w:eastAsia="微软雅黑" w:cs="微软雅黑"/>
      <w:color w:val="000000"/>
      <w:sz w:val="18"/>
      <w:szCs w:val="18"/>
      <w:u w:val="none"/>
    </w:rPr>
  </w:style>
  <w:style w:type="character" w:customStyle="1" w:styleId="74">
    <w:name w:val="font11"/>
    <w:qFormat/>
    <w:uiPriority w:val="99"/>
    <w:rPr>
      <w:rFonts w:ascii="宋体" w:hAnsi="宋体" w:eastAsia="宋体" w:cs="宋体"/>
      <w:color w:val="000000"/>
      <w:sz w:val="18"/>
      <w:szCs w:val="18"/>
      <w:u w:val="none"/>
    </w:rPr>
  </w:style>
  <w:style w:type="paragraph" w:customStyle="1" w:styleId="75">
    <w:name w:val="z-正文"/>
    <w:basedOn w:val="1"/>
    <w:qFormat/>
    <w:uiPriority w:val="99"/>
    <w:pPr>
      <w:spacing w:line="360" w:lineRule="auto"/>
      <w:ind w:firstLine="200" w:firstLineChars="200"/>
      <w:jc w:val="left"/>
    </w:pPr>
    <w:rPr>
      <w:kern w:val="0"/>
      <w:sz w:val="24"/>
      <w:szCs w:val="20"/>
      <w:lang w:eastAsia="en-US"/>
    </w:rPr>
  </w:style>
  <w:style w:type="character" w:customStyle="1" w:styleId="76">
    <w:name w:val="批注文字 字符"/>
    <w:link w:val="13"/>
    <w:qFormat/>
    <w:uiPriority w:val="0"/>
    <w:rPr>
      <w:kern w:val="2"/>
      <w:sz w:val="21"/>
      <w:szCs w:val="24"/>
    </w:rPr>
  </w:style>
  <w:style w:type="character" w:customStyle="1" w:styleId="77">
    <w:name w:val="批注主题 字符"/>
    <w:link w:val="27"/>
    <w:semiHidden/>
    <w:qFormat/>
    <w:uiPriority w:val="99"/>
    <w:rPr>
      <w:b/>
      <w:bCs/>
      <w:kern w:val="2"/>
      <w:sz w:val="21"/>
      <w:szCs w:val="24"/>
    </w:rPr>
  </w:style>
  <w:style w:type="paragraph" w:customStyle="1" w:styleId="78">
    <w:name w:val="普通正文"/>
    <w:basedOn w:val="1"/>
    <w:qFormat/>
    <w:uiPriority w:val="0"/>
    <w:pPr>
      <w:adjustRightInd w:val="0"/>
      <w:spacing w:before="120" w:after="120" w:line="360" w:lineRule="auto"/>
      <w:ind w:firstLine="480"/>
      <w:jc w:val="left"/>
    </w:pPr>
    <w:rPr>
      <w:rFonts w:ascii="Arial" w:hAnsi="Arial"/>
      <w:kern w:val="0"/>
      <w:sz w:val="24"/>
    </w:rPr>
  </w:style>
  <w:style w:type="paragraph" w:customStyle="1" w:styleId="79">
    <w:name w:val="正文缩进1"/>
    <w:basedOn w:val="1"/>
    <w:qFormat/>
    <w:uiPriority w:val="0"/>
    <w:pPr>
      <w:widowControl/>
      <w:ind w:firstLine="420"/>
      <w:jc w:val="left"/>
    </w:pPr>
    <w:rPr>
      <w:rFonts w:ascii="Calibri" w:hAnsi="Calibri"/>
      <w:kern w:val="0"/>
    </w:rPr>
  </w:style>
  <w:style w:type="character" w:customStyle="1" w:styleId="80">
    <w:name w:val="正文文本缩进 字符"/>
    <w:basedOn w:val="30"/>
    <w:link w:val="15"/>
    <w:qFormat/>
    <w:uiPriority w:val="0"/>
    <w:rPr>
      <w:rFonts w:ascii="Times New Roman" w:hAnsi="Times New Roman"/>
      <w:kern w:val="2"/>
      <w:sz w:val="21"/>
      <w:szCs w:val="24"/>
    </w:rPr>
  </w:style>
  <w:style w:type="character" w:customStyle="1" w:styleId="81">
    <w:name w:val="正文文本缩进 3 字符"/>
    <w:basedOn w:val="30"/>
    <w:link w:val="23"/>
    <w:semiHidden/>
    <w:uiPriority w:val="99"/>
    <w:rPr>
      <w:rFonts w:ascii="Times New Roman" w:hAnsi="Times New Roman"/>
      <w:kern w:val="2"/>
      <w:sz w:val="16"/>
      <w:szCs w:val="16"/>
    </w:rPr>
  </w:style>
  <w:style w:type="character" w:customStyle="1" w:styleId="82">
    <w:name w:val="16"/>
    <w:basedOn w:val="30"/>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5B489-A64B-44C5-A754-5FB9FF72593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1798</Words>
  <Characters>10254</Characters>
  <Lines>85</Lines>
  <Paragraphs>24</Paragraphs>
  <TotalTime>9</TotalTime>
  <ScaleCrop>false</ScaleCrop>
  <LinksUpToDate>false</LinksUpToDate>
  <CharactersWithSpaces>12028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2021-05-08T02:14:00Z</dcterms:created>
  <dc:creator>USER</dc:creator>
  <cp:lastModifiedBy>gongyurong</cp:lastModifiedBy>
  <cp:lastPrinted>2021-05-07T06:33:00Z</cp:lastPrinted>
  <dcterms:modified xsi:type="dcterms:W3CDTF">2021-05-20T08:30:20Z</dcterms:modified>
  <dc:title>招  标  文  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E004076509214B60AF9D2B256B9A8714</vt:lpwstr>
  </property>
</Properties>
</file>