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竞争性磋商采购文件</w:t>
      </w:r>
    </w:p>
    <w:p>
      <w:pPr>
        <w:rPr>
          <w:rFonts w:eastAsia="黑体"/>
          <w:color w:val="000000" w:themeColor="text1"/>
          <w:sz w:val="32"/>
          <w14:textFill>
            <w14:solidFill>
              <w14:schemeClr w14:val="tx1"/>
            </w14:solidFill>
          </w14:textFill>
        </w:rPr>
      </w:pPr>
      <w:r>
        <w:rPr>
          <w:rFonts w:eastAsia="黑体"/>
          <w:color w:val="000000" w:themeColor="text1"/>
          <w:sz w:val="32"/>
          <w14:textFill>
            <w14:solidFill>
              <w14:schemeClr w14:val="tx1"/>
            </w14:solidFill>
          </w14:textFill>
        </w:rPr>
        <w:t xml:space="preserve"> </w:t>
      </w:r>
    </w:p>
    <w:p>
      <w:pPr>
        <w:ind w:firstLine="1744" w:firstLineChars="545"/>
        <w:rPr>
          <w:rFonts w:ascii="宋体"/>
          <w:color w:val="000000" w:themeColor="text1"/>
          <w:sz w:val="32"/>
          <w14:textFill>
            <w14:solidFill>
              <w14:schemeClr w14:val="tx1"/>
            </w14:solidFill>
          </w14:textFill>
        </w:rPr>
      </w:pPr>
    </w:p>
    <w:p>
      <w:pPr>
        <w:spacing w:line="300" w:lineRule="auto"/>
        <w:ind w:firstLine="1606" w:firstLineChars="500"/>
        <w:rPr>
          <w:rFonts w:asci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w:t>
      </w:r>
      <w:r>
        <w:rPr>
          <w:rFonts w:hint="eastAsia" w:ascii="宋体" w:hAnsi="宋体"/>
          <w:b/>
          <w:color w:val="000000"/>
          <w:sz w:val="32"/>
          <w:szCs w:val="32"/>
        </w:rPr>
        <w:t>启东校区不锈钢衣柜</w:t>
      </w:r>
    </w:p>
    <w:p>
      <w:pPr>
        <w:spacing w:line="300" w:lineRule="auto"/>
        <w:ind w:firstLine="1606" w:firstLineChars="500"/>
        <w:rPr>
          <w:rFonts w:ascii="宋体"/>
          <w:color w:val="000000" w:themeColor="text1"/>
          <w:spacing w:val="4"/>
          <w:sz w:val="24"/>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项目编号：Q</w:t>
      </w:r>
      <w:r>
        <w:rPr>
          <w:rFonts w:ascii="宋体" w:hAnsi="宋体"/>
          <w:b/>
          <w:color w:val="000000" w:themeColor="text1"/>
          <w:sz w:val="32"/>
          <w:szCs w:val="32"/>
          <w14:textFill>
            <w14:solidFill>
              <w14:schemeClr w14:val="tx1"/>
            </w14:solidFill>
          </w14:textFill>
        </w:rPr>
        <w:t>J2020-01</w:t>
      </w:r>
    </w:p>
    <w:p>
      <w:pPr>
        <w:spacing w:line="360" w:lineRule="auto"/>
        <w:ind w:firstLine="1240" w:firstLineChars="500"/>
        <w:rPr>
          <w:rFonts w:ascii="宋体"/>
          <w:color w:val="000000" w:themeColor="text1"/>
          <w:spacing w:val="4"/>
          <w:sz w:val="24"/>
          <w14:textFill>
            <w14:solidFill>
              <w14:schemeClr w14:val="tx1"/>
            </w14:solidFill>
          </w14:textFill>
        </w:rPr>
      </w:pPr>
    </w:p>
    <w:p>
      <w:pPr>
        <w:spacing w:line="360" w:lineRule="auto"/>
        <w:ind w:firstLine="1606" w:firstLineChars="500"/>
        <w:rPr>
          <w:rFonts w:ascii="宋体"/>
          <w:b/>
          <w:color w:val="000000" w:themeColor="text1"/>
          <w:sz w:val="32"/>
          <w:szCs w:val="32"/>
          <w14:textFill>
            <w14:solidFill>
              <w14:schemeClr w14:val="tx1"/>
            </w14:solidFill>
          </w14:textFill>
        </w:rPr>
      </w:pP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rPr>
          <w:rFonts w:ascii="宋体"/>
          <w:color w:val="000000" w:themeColor="text1"/>
          <w:sz w:val="32"/>
          <w14:textFill>
            <w14:solidFill>
              <w14:schemeClr w14:val="tx1"/>
            </w14:solidFill>
          </w14:textFill>
        </w:rPr>
      </w:pPr>
    </w:p>
    <w:p>
      <w:pPr>
        <w:pStyle w:val="8"/>
        <w:ind w:left="0" w:leftChars="0"/>
        <w:jc w:val="center"/>
        <w:rPr>
          <w:rFonts w:ascii="宋体" w:hAnsi="宋体" w:eastAsia="宋体"/>
          <w:b/>
          <w:color w:val="000000" w:themeColor="text1"/>
          <w:sz w:val="32"/>
          <w:szCs w:val="32"/>
          <w14:textFill>
            <w14:solidFill>
              <w14:schemeClr w14:val="tx1"/>
            </w14:solidFill>
          </w14:textFill>
        </w:rPr>
      </w:pPr>
    </w:p>
    <w:p>
      <w:pPr>
        <w:pStyle w:val="8"/>
        <w:ind w:left="0" w:leftChars="0"/>
        <w:jc w:val="center"/>
        <w:rPr>
          <w:rFonts w:ascii="宋体" w:hAnsi="宋体" w:eastAsia="宋体"/>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20</w:t>
      </w:r>
      <w:r>
        <w:rPr>
          <w:rFonts w:hint="eastAsia" w:ascii="宋体" w:hAnsi="宋体" w:eastAsia="宋体"/>
          <w:b/>
          <w:color w:val="000000" w:themeColor="text1"/>
          <w:sz w:val="32"/>
          <w:szCs w:val="32"/>
          <w14:textFill>
            <w14:solidFill>
              <w14:schemeClr w14:val="tx1"/>
            </w14:solidFill>
          </w14:textFill>
        </w:rPr>
        <w:t xml:space="preserve">20年 </w:t>
      </w:r>
      <w:r>
        <w:rPr>
          <w:rFonts w:ascii="宋体" w:hAnsi="宋体" w:eastAsia="宋体"/>
          <w:b/>
          <w:color w:val="000000" w:themeColor="text1"/>
          <w:sz w:val="32"/>
          <w:szCs w:val="32"/>
          <w14:textFill>
            <w14:solidFill>
              <w14:schemeClr w14:val="tx1"/>
            </w14:solidFill>
          </w14:textFill>
        </w:rPr>
        <w:t>6</w:t>
      </w:r>
      <w:r>
        <w:rPr>
          <w:rFonts w:hint="eastAsia" w:ascii="宋体" w:hAnsi="宋体" w:eastAsia="宋体"/>
          <w:b/>
          <w:color w:val="000000" w:themeColor="text1"/>
          <w:sz w:val="32"/>
          <w:szCs w:val="32"/>
          <w14:textFill>
            <w14:solidFill>
              <w14:schemeClr w14:val="tx1"/>
            </w14:solidFill>
          </w14:textFill>
        </w:rPr>
        <w:t>月</w:t>
      </w:r>
    </w:p>
    <w:p>
      <w:pPr>
        <w:spacing w:after="312" w:afterLines="100" w:line="500" w:lineRule="exact"/>
        <w:jc w:val="center"/>
      </w:pPr>
      <w:r>
        <w:rPr>
          <w:rStyle w:val="21"/>
          <w:rFonts w:hint="eastAsia" w:eastAsia="黑体"/>
          <w:bCs/>
          <w:color w:val="000000" w:themeColor="text1"/>
          <w:sz w:val="48"/>
          <w:u w:val="none"/>
          <w14:textFill>
            <w14:solidFill>
              <w14:schemeClr w14:val="tx1"/>
            </w14:solidFill>
          </w14:textFill>
        </w:rPr>
        <w:t>目</w:t>
      </w:r>
      <w:r>
        <w:rPr>
          <w:rStyle w:val="21"/>
          <w:rFonts w:eastAsia="黑体"/>
          <w:bCs/>
          <w:color w:val="000000" w:themeColor="text1"/>
          <w:sz w:val="48"/>
          <w:u w:val="none"/>
          <w14:textFill>
            <w14:solidFill>
              <w14:schemeClr w14:val="tx1"/>
            </w14:solidFill>
          </w14:textFill>
        </w:rPr>
        <w:t xml:space="preserve">  </w:t>
      </w:r>
      <w:r>
        <w:rPr>
          <w:rStyle w:val="21"/>
          <w:rFonts w:hint="eastAsia" w:eastAsia="黑体"/>
          <w:bCs/>
          <w:color w:val="000000" w:themeColor="text1"/>
          <w:sz w:val="48"/>
          <w:u w:val="none"/>
          <w14:textFill>
            <w14:solidFill>
              <w14:schemeClr w14:val="tx1"/>
            </w14:solidFill>
          </w14:textFill>
        </w:rPr>
        <w:t>录</w:t>
      </w:r>
      <w:r>
        <w:rPr>
          <w:rStyle w:val="21"/>
          <w:rFonts w:eastAsia="黑体"/>
          <w:bCs/>
          <w:color w:val="000000" w:themeColor="text1"/>
          <w:sz w:val="24"/>
          <w:u w:val="none"/>
          <w14:textFill>
            <w14:solidFill>
              <w14:schemeClr w14:val="tx1"/>
            </w14:solidFill>
          </w14:textFill>
        </w:rPr>
        <w:fldChar w:fldCharType="begin"/>
      </w:r>
      <w:r>
        <w:rPr>
          <w:rStyle w:val="21"/>
          <w:rFonts w:eastAsia="黑体"/>
          <w:bCs/>
          <w:color w:val="000000" w:themeColor="text1"/>
          <w:sz w:val="24"/>
          <w:u w:val="none"/>
          <w14:textFill>
            <w14:solidFill>
              <w14:schemeClr w14:val="tx1"/>
            </w14:solidFill>
          </w14:textFill>
        </w:rPr>
        <w:instrText xml:space="preserve"> TOC \o "1-3" \h \z \u </w:instrText>
      </w:r>
      <w:r>
        <w:rPr>
          <w:rStyle w:val="21"/>
          <w:rFonts w:eastAsia="黑体"/>
          <w:bCs/>
          <w:color w:val="000000" w:themeColor="text1"/>
          <w:sz w:val="24"/>
          <w:u w:val="none"/>
          <w14:textFill>
            <w14:solidFill>
              <w14:schemeClr w14:val="tx1"/>
            </w14:solidFill>
          </w14:textFill>
        </w:rPr>
        <w:fldChar w:fldCharType="separate"/>
      </w:r>
    </w:p>
    <w:p>
      <w:pPr>
        <w:pStyle w:val="12"/>
        <w:tabs>
          <w:tab w:val="right" w:leader="dot" w:pos="8834"/>
        </w:tabs>
        <w:rPr>
          <w:rFonts w:asciiTheme="minorHAnsi" w:hAnsiTheme="minorHAnsi" w:eastAsiaTheme="minorEastAsia" w:cstheme="minorBidi"/>
          <w:szCs w:val="22"/>
        </w:rPr>
      </w:pPr>
      <w:r>
        <w:fldChar w:fldCharType="begin"/>
      </w:r>
      <w:r>
        <w:instrText xml:space="preserve"> HYPERLINK \l "_Toc43367677" </w:instrText>
      </w:r>
      <w:r>
        <w:fldChar w:fldCharType="separate"/>
      </w:r>
      <w:r>
        <w:rPr>
          <w:rStyle w:val="22"/>
        </w:rPr>
        <w:t>第一部分   竞争性磋商采购公告</w:t>
      </w:r>
      <w:r>
        <w:tab/>
      </w:r>
      <w:r>
        <w:fldChar w:fldCharType="begin"/>
      </w:r>
      <w:r>
        <w:instrText xml:space="preserve"> PAGEREF _Toc43367677 \h </w:instrText>
      </w:r>
      <w:r>
        <w:fldChar w:fldCharType="separate"/>
      </w:r>
      <w:r>
        <w:t>2</w:t>
      </w:r>
      <w:r>
        <w:fldChar w:fldCharType="end"/>
      </w:r>
      <w:r>
        <w:fldChar w:fldCharType="end"/>
      </w:r>
    </w:p>
    <w:p>
      <w:pPr>
        <w:pStyle w:val="12"/>
        <w:tabs>
          <w:tab w:val="right" w:leader="dot" w:pos="8834"/>
        </w:tabs>
        <w:rPr>
          <w:rFonts w:asciiTheme="minorHAnsi" w:hAnsiTheme="minorHAnsi" w:eastAsiaTheme="minorEastAsia" w:cstheme="minorBidi"/>
          <w:szCs w:val="22"/>
        </w:rPr>
      </w:pPr>
      <w:r>
        <w:fldChar w:fldCharType="begin"/>
      </w:r>
      <w:r>
        <w:instrText xml:space="preserve"> HYPERLINK \l "_Toc43367678" </w:instrText>
      </w:r>
      <w:r>
        <w:fldChar w:fldCharType="separate"/>
      </w:r>
      <w:r>
        <w:rPr>
          <w:rStyle w:val="22"/>
        </w:rPr>
        <w:t>第二部分  投标人须知</w:t>
      </w:r>
      <w:r>
        <w:tab/>
      </w:r>
      <w:r>
        <w:fldChar w:fldCharType="begin"/>
      </w:r>
      <w:r>
        <w:instrText xml:space="preserve"> PAGEREF _Toc43367678 \h </w:instrText>
      </w:r>
      <w:r>
        <w:fldChar w:fldCharType="separate"/>
      </w:r>
      <w:r>
        <w:t>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"_Toc43367679" </w:instrText>
      </w:r>
      <w:r>
        <w:fldChar w:fldCharType="separate"/>
      </w:r>
      <w:r>
        <w:rPr>
          <w:rStyle w:val="22"/>
        </w:rPr>
        <w:t>一、竞争性磋商文件</w:t>
      </w:r>
      <w:r>
        <w:tab/>
      </w:r>
      <w:r>
        <w:fldChar w:fldCharType="begin"/>
      </w:r>
      <w:r>
        <w:instrText xml:space="preserve"> PAGEREF _Toc43367679 \h </w:instrText>
      </w:r>
      <w:r>
        <w:fldChar w:fldCharType="separate"/>
      </w:r>
      <w:r>
        <w:t>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"_Toc43367680" </w:instrText>
      </w:r>
      <w:r>
        <w:fldChar w:fldCharType="separate"/>
      </w:r>
      <w:r>
        <w:rPr>
          <w:rStyle w:val="22"/>
        </w:rPr>
        <w:t>二、投标文件</w:t>
      </w:r>
      <w:r>
        <w:tab/>
      </w:r>
      <w:r>
        <w:fldChar w:fldCharType="begin"/>
      </w:r>
      <w:r>
        <w:instrText xml:space="preserve"> PAGEREF _Toc43367680 \h </w:instrText>
      </w:r>
      <w:r>
        <w:fldChar w:fldCharType="separate"/>
      </w:r>
      <w:r>
        <w:t>5</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"_Toc43367681" </w:instrText>
      </w:r>
      <w:r>
        <w:fldChar w:fldCharType="separate"/>
      </w:r>
      <w:r>
        <w:rPr>
          <w:rStyle w:val="22"/>
        </w:rPr>
        <w:t>三、投标细则</w:t>
      </w:r>
      <w:r>
        <w:tab/>
      </w:r>
      <w:r>
        <w:fldChar w:fldCharType="begin"/>
      </w:r>
      <w:r>
        <w:instrText xml:space="preserve"> PAGEREF _Toc43367681 \h </w:instrText>
      </w:r>
      <w:r>
        <w:fldChar w:fldCharType="separate"/>
      </w:r>
      <w:r>
        <w:t>6</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"_Toc43367682" </w:instrText>
      </w:r>
      <w:r>
        <w:fldChar w:fldCharType="separate"/>
      </w:r>
      <w:r>
        <w:rPr>
          <w:rStyle w:val="22"/>
        </w:rPr>
        <w:t>四、评标</w:t>
      </w:r>
      <w:r>
        <w:tab/>
      </w:r>
      <w:r>
        <w:fldChar w:fldCharType="begin"/>
      </w:r>
      <w:r>
        <w:instrText xml:space="preserve"> PAGEREF _Toc43367682 \h </w:instrText>
      </w:r>
      <w:r>
        <w:fldChar w:fldCharType="separate"/>
      </w:r>
      <w:r>
        <w:t>7</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"_Toc43367683" </w:instrText>
      </w:r>
      <w:r>
        <w:fldChar w:fldCharType="separate"/>
      </w:r>
      <w:r>
        <w:rPr>
          <w:rStyle w:val="22"/>
        </w:rPr>
        <w:t>五、竞争性磋商方法及评判标准</w:t>
      </w:r>
      <w:r>
        <w:tab/>
      </w:r>
      <w:r>
        <w:fldChar w:fldCharType="begin"/>
      </w:r>
      <w:r>
        <w:instrText xml:space="preserve"> PAGEREF _Toc43367683 \h </w:instrText>
      </w:r>
      <w:r>
        <w:fldChar w:fldCharType="separate"/>
      </w:r>
      <w:r>
        <w:t>9</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"_Toc43367684" </w:instrText>
      </w:r>
      <w:r>
        <w:fldChar w:fldCharType="separate"/>
      </w:r>
      <w:r>
        <w:rPr>
          <w:rStyle w:val="22"/>
        </w:rPr>
        <w:t>六、 定标</w:t>
      </w:r>
      <w:r>
        <w:tab/>
      </w:r>
      <w:r>
        <w:fldChar w:fldCharType="begin"/>
      </w:r>
      <w:r>
        <w:instrText xml:space="preserve"> PAGEREF _Toc43367684 \h </w:instrText>
      </w:r>
      <w:r>
        <w:fldChar w:fldCharType="separate"/>
      </w:r>
      <w:r>
        <w:t>11</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"_Toc43367685" </w:instrText>
      </w:r>
      <w:r>
        <w:fldChar w:fldCharType="separate"/>
      </w:r>
      <w:r>
        <w:rPr>
          <w:rStyle w:val="22"/>
        </w:rPr>
        <w:t>七、合同的签订</w:t>
      </w:r>
      <w:r>
        <w:tab/>
      </w:r>
      <w:r>
        <w:fldChar w:fldCharType="begin"/>
      </w:r>
      <w:r>
        <w:instrText xml:space="preserve"> PAGEREF _Toc43367685 \h </w:instrText>
      </w:r>
      <w:r>
        <w:fldChar w:fldCharType="separate"/>
      </w:r>
      <w:r>
        <w:t>11</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"_Toc43367686" </w:instrText>
      </w:r>
      <w:r>
        <w:fldChar w:fldCharType="separate"/>
      </w:r>
      <w:r>
        <w:rPr>
          <w:rStyle w:val="22"/>
          <w:rFonts w:ascii="宋体" w:hAnsi="宋体"/>
        </w:rPr>
        <w:t>八、其他</w:t>
      </w:r>
      <w:r>
        <w:tab/>
      </w:r>
      <w:r>
        <w:fldChar w:fldCharType="begin"/>
      </w:r>
      <w:r>
        <w:instrText xml:space="preserve"> PAGEREF _Toc43367686 \h </w:instrText>
      </w:r>
      <w:r>
        <w:fldChar w:fldCharType="separate"/>
      </w:r>
      <w:r>
        <w:t>11</w:t>
      </w:r>
      <w:r>
        <w:fldChar w:fldCharType="end"/>
      </w:r>
      <w:r>
        <w:fldChar w:fldCharType="end"/>
      </w:r>
    </w:p>
    <w:p>
      <w:pPr>
        <w:pStyle w:val="12"/>
        <w:tabs>
          <w:tab w:val="right" w:leader="dot" w:pos="8834"/>
        </w:tabs>
        <w:rPr>
          <w:rFonts w:asciiTheme="minorHAnsi" w:hAnsiTheme="minorHAnsi" w:eastAsiaTheme="minorEastAsia" w:cstheme="minorBidi"/>
          <w:szCs w:val="22"/>
        </w:rPr>
      </w:pPr>
      <w:r>
        <w:fldChar w:fldCharType="begin"/>
      </w:r>
      <w:r>
        <w:instrText xml:space="preserve"> HYPERLINK \l "_Toc43367687" </w:instrText>
      </w:r>
      <w:r>
        <w:fldChar w:fldCharType="separate"/>
      </w:r>
      <w:r>
        <w:rPr>
          <w:rStyle w:val="22"/>
        </w:rPr>
        <w:t>第三部分  采购货物要求及相关说明</w:t>
      </w:r>
      <w:r>
        <w:tab/>
      </w:r>
      <w:r>
        <w:fldChar w:fldCharType="begin"/>
      </w:r>
      <w:r>
        <w:instrText xml:space="preserve"> PAGEREF _Toc43367687 \h </w:instrText>
      </w:r>
      <w:r>
        <w:fldChar w:fldCharType="separate"/>
      </w:r>
      <w:r>
        <w:t>12</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"_Toc43367688" </w:instrText>
      </w:r>
      <w:r>
        <w:fldChar w:fldCharType="separate"/>
      </w:r>
      <w:r>
        <w:rPr>
          <w:rStyle w:val="22"/>
        </w:rPr>
        <w:t>货物需求一览表</w:t>
      </w:r>
      <w:r>
        <w:tab/>
      </w:r>
      <w:r>
        <w:fldChar w:fldCharType="begin"/>
      </w:r>
      <w:r>
        <w:instrText xml:space="preserve"> PAGEREF _Toc43367688 \h </w:instrText>
      </w:r>
      <w:r>
        <w:fldChar w:fldCharType="separate"/>
      </w:r>
      <w:r>
        <w:t>12</w:t>
      </w:r>
      <w:r>
        <w:fldChar w:fldCharType="end"/>
      </w:r>
      <w:r>
        <w:fldChar w:fldCharType="end"/>
      </w:r>
    </w:p>
    <w:p>
      <w:pPr>
        <w:pStyle w:val="12"/>
        <w:tabs>
          <w:tab w:val="right" w:leader="dot" w:pos="8834"/>
        </w:tabs>
        <w:rPr>
          <w:rFonts w:asciiTheme="minorHAnsi" w:hAnsiTheme="minorHAnsi" w:eastAsiaTheme="minorEastAsia" w:cstheme="minorBidi"/>
          <w:szCs w:val="22"/>
        </w:rPr>
      </w:pPr>
      <w:r>
        <w:fldChar w:fldCharType="begin"/>
      </w:r>
      <w:r>
        <w:instrText xml:space="preserve"> HYPERLINK \l "_Toc43367689" </w:instrText>
      </w:r>
      <w:r>
        <w:fldChar w:fldCharType="separate"/>
      </w:r>
      <w:r>
        <w:rPr>
          <w:rStyle w:val="22"/>
        </w:rPr>
        <w:t>第四部分 合同主要条款</w:t>
      </w:r>
      <w:r>
        <w:tab/>
      </w:r>
      <w:r>
        <w:fldChar w:fldCharType="begin"/>
      </w:r>
      <w:r>
        <w:instrText xml:space="preserve"> PAGEREF _Toc43367689 \h </w:instrText>
      </w:r>
      <w:r>
        <w:fldChar w:fldCharType="separate"/>
      </w:r>
      <w:r>
        <w:t>13</w:t>
      </w:r>
      <w:r>
        <w:fldChar w:fldCharType="end"/>
      </w:r>
      <w:r>
        <w:fldChar w:fldCharType="end"/>
      </w:r>
    </w:p>
    <w:p>
      <w:pPr>
        <w:pStyle w:val="12"/>
        <w:tabs>
          <w:tab w:val="right" w:leader="dot" w:pos="8834"/>
        </w:tabs>
        <w:rPr>
          <w:rFonts w:asciiTheme="minorHAnsi" w:hAnsiTheme="minorHAnsi" w:eastAsiaTheme="minorEastAsia" w:cstheme="minorBidi"/>
          <w:szCs w:val="22"/>
        </w:rPr>
      </w:pPr>
      <w:r>
        <w:fldChar w:fldCharType="begin"/>
      </w:r>
      <w:r>
        <w:instrText xml:space="preserve"> HYPERLINK \l "_Toc43367690" </w:instrText>
      </w:r>
      <w:r>
        <w:fldChar w:fldCharType="separate"/>
      </w:r>
      <w:r>
        <w:rPr>
          <w:rStyle w:val="22"/>
        </w:rPr>
        <w:t>第五部分  附  件</w:t>
      </w:r>
      <w:r>
        <w:tab/>
      </w:r>
      <w:r>
        <w:fldChar w:fldCharType="begin"/>
      </w:r>
      <w:r>
        <w:instrText xml:space="preserve"> PAGEREF _Toc43367690 \h </w:instrText>
      </w:r>
      <w:r>
        <w:fldChar w:fldCharType="separate"/>
      </w:r>
      <w:r>
        <w:t>14</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"_Toc43367691" </w:instrText>
      </w:r>
      <w:r>
        <w:fldChar w:fldCharType="separate"/>
      </w:r>
      <w:r>
        <w:rPr>
          <w:rStyle w:val="22"/>
          <w:rFonts w:ascii="宋体" w:hAnsi="宋体"/>
        </w:rPr>
        <w:t>附件1：投标函</w:t>
      </w:r>
      <w:r>
        <w:tab/>
      </w:r>
      <w:r>
        <w:fldChar w:fldCharType="begin"/>
      </w:r>
      <w:r>
        <w:instrText xml:space="preserve"> PAGEREF _Toc43367691 \h </w:instrText>
      </w:r>
      <w:r>
        <w:fldChar w:fldCharType="separate"/>
      </w:r>
      <w:r>
        <w:t>15</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"_Toc43367692" </w:instrText>
      </w:r>
      <w:r>
        <w:fldChar w:fldCharType="separate"/>
      </w:r>
      <w:r>
        <w:rPr>
          <w:rStyle w:val="22"/>
          <w:rFonts w:ascii="宋体" w:hAnsi="宋体"/>
        </w:rPr>
        <w:t>附件2：投 标 报 价 总 表</w:t>
      </w:r>
      <w:r>
        <w:tab/>
      </w:r>
      <w:r>
        <w:fldChar w:fldCharType="begin"/>
      </w:r>
      <w:r>
        <w:instrText xml:space="preserve"> PAGEREF _Toc43367692 \h </w:instrText>
      </w:r>
      <w:r>
        <w:fldChar w:fldCharType="separate"/>
      </w:r>
      <w:r>
        <w:t>16</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"_Toc43367693" </w:instrText>
      </w:r>
      <w:r>
        <w:fldChar w:fldCharType="separate"/>
      </w:r>
      <w:r>
        <w:rPr>
          <w:rStyle w:val="22"/>
          <w:rFonts w:ascii="宋体" w:hAnsi="宋体"/>
        </w:rPr>
        <w:t>附件3：配置清单及分项报价表</w:t>
      </w:r>
      <w:r>
        <w:tab/>
      </w:r>
      <w:r>
        <w:fldChar w:fldCharType="begin"/>
      </w:r>
      <w:r>
        <w:instrText xml:space="preserve"> PAGEREF _Toc43367693 \h </w:instrText>
      </w:r>
      <w:r>
        <w:fldChar w:fldCharType="separate"/>
      </w:r>
      <w:r>
        <w:t>17</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"_Toc43367694" </w:instrText>
      </w:r>
      <w:r>
        <w:fldChar w:fldCharType="separate"/>
      </w:r>
      <w:r>
        <w:rPr>
          <w:rStyle w:val="22"/>
          <w:rFonts w:ascii="宋体" w:hAnsi="宋体"/>
        </w:rPr>
        <w:t>附件4：技术规格响应/偏离表</w:t>
      </w:r>
      <w:r>
        <w:tab/>
      </w:r>
      <w:r>
        <w:fldChar w:fldCharType="begin"/>
      </w:r>
      <w:r>
        <w:instrText xml:space="preserve"> PAGEREF _Toc43367694 \h </w:instrText>
      </w:r>
      <w:r>
        <w:fldChar w:fldCharType="separate"/>
      </w:r>
      <w:r>
        <w:t>18</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"_Toc43367695" </w:instrText>
      </w:r>
      <w:r>
        <w:fldChar w:fldCharType="separate"/>
      </w:r>
      <w:r>
        <w:rPr>
          <w:rStyle w:val="22"/>
          <w:rFonts w:ascii="宋体" w:hAnsi="宋体"/>
        </w:rPr>
        <w:t>附件5：商务条款响应/偏离表</w:t>
      </w:r>
      <w:r>
        <w:tab/>
      </w:r>
      <w:r>
        <w:fldChar w:fldCharType="begin"/>
      </w:r>
      <w:r>
        <w:instrText xml:space="preserve"> PAGEREF _Toc43367695 \h </w:instrText>
      </w:r>
      <w:r>
        <w:fldChar w:fldCharType="separate"/>
      </w:r>
      <w:r>
        <w:t>19</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"_Toc43367696" </w:instrText>
      </w:r>
      <w:r>
        <w:fldChar w:fldCharType="separate"/>
      </w:r>
      <w:r>
        <w:rPr>
          <w:rStyle w:val="22"/>
          <w:rFonts w:ascii="宋体" w:hAnsi="宋体"/>
        </w:rPr>
        <w:t>附件6：法定代表人资格证明</w:t>
      </w:r>
      <w:r>
        <w:tab/>
      </w:r>
      <w:r>
        <w:fldChar w:fldCharType="begin"/>
      </w:r>
      <w:r>
        <w:instrText xml:space="preserve"> PAGEREF _Toc43367696 \h </w:instrText>
      </w:r>
      <w:r>
        <w:fldChar w:fldCharType="separate"/>
      </w:r>
      <w:r>
        <w:t>20</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"_Toc43367697" </w:instrText>
      </w:r>
      <w:r>
        <w:fldChar w:fldCharType="separate"/>
      </w:r>
      <w:r>
        <w:rPr>
          <w:rStyle w:val="22"/>
          <w:rFonts w:ascii="宋体" w:hAnsi="宋体"/>
        </w:rPr>
        <w:t>附件7：法定代表人授权书</w:t>
      </w:r>
      <w:r>
        <w:tab/>
      </w:r>
      <w:r>
        <w:fldChar w:fldCharType="begin"/>
      </w:r>
      <w:r>
        <w:instrText xml:space="preserve"> PAGEREF _Toc43367697 \h </w:instrText>
      </w:r>
      <w:r>
        <w:fldChar w:fldCharType="separate"/>
      </w:r>
      <w:r>
        <w:t>20</w:t>
      </w:r>
      <w:r>
        <w:fldChar w:fldCharType="end"/>
      </w:r>
      <w:r>
        <w:fldChar w:fldCharType="end"/>
      </w:r>
    </w:p>
    <w:p>
      <w:pPr>
        <w:pStyle w:val="13"/>
        <w:tabs>
          <w:tab w:val="right" w:leader="dot" w:pos="8834"/>
        </w:tabs>
        <w:rPr>
          <w:rFonts w:asciiTheme="minorHAnsi" w:hAnsiTheme="minorHAnsi" w:eastAsiaTheme="minorEastAsia" w:cstheme="minorBidi"/>
          <w:szCs w:val="22"/>
        </w:rPr>
      </w:pPr>
      <w:r>
        <w:fldChar w:fldCharType="begin"/>
      </w:r>
      <w:r>
        <w:instrText xml:space="preserve"> HYPERLINK \l "_Toc43367698" </w:instrText>
      </w:r>
      <w:r>
        <w:fldChar w:fldCharType="separate"/>
      </w:r>
      <w:r>
        <w:rPr>
          <w:rStyle w:val="22"/>
          <w:rFonts w:ascii="宋体" w:hAnsi="宋体"/>
        </w:rPr>
        <w:t>附件8：报名投标确认函</w:t>
      </w:r>
      <w:r>
        <w:tab/>
      </w:r>
      <w:r>
        <w:fldChar w:fldCharType="begin"/>
      </w:r>
      <w:r>
        <w:instrText xml:space="preserve"> PAGEREF _Toc43367698 \h </w:instrText>
      </w:r>
      <w:r>
        <w:fldChar w:fldCharType="separate"/>
      </w:r>
      <w:r>
        <w:t>22</w:t>
      </w:r>
      <w:r>
        <w:fldChar w:fldCharType="end"/>
      </w:r>
      <w:r>
        <w:fldChar w:fldCharType="end"/>
      </w:r>
    </w:p>
    <w:p>
      <w:pPr>
        <w:spacing w:after="312" w:afterLines="100" w:line="500" w:lineRule="exact"/>
        <w:jc w:val="center"/>
        <w:rPr>
          <w:rFonts w:ascii="宋体"/>
          <w:bCs/>
          <w:color w:val="000000" w:themeColor="text1"/>
          <w:sz w:val="30"/>
          <w:szCs w:val="30"/>
          <w14:textFill>
            <w14:solidFill>
              <w14:schemeClr w14:val="tx1"/>
            </w14:solidFill>
          </w14:textFill>
        </w:rPr>
      </w:pPr>
      <w:r>
        <w:rPr>
          <w:rStyle w:val="21"/>
          <w:rFonts w:eastAsia="黑体"/>
          <w:bCs/>
          <w:color w:val="000000" w:themeColor="text1"/>
          <w:sz w:val="24"/>
          <w:u w:val="none"/>
          <w14:textFill>
            <w14:solidFill>
              <w14:schemeClr w14:val="tx1"/>
            </w14:solidFill>
          </w14:textFill>
        </w:rPr>
        <w:fldChar w:fldCharType="end"/>
      </w:r>
      <w:r>
        <w:rPr>
          <w:rFonts w:ascii="宋体"/>
          <w:bCs/>
          <w:color w:val="000000" w:themeColor="text1"/>
          <w:sz w:val="30"/>
          <w:szCs w:val="30"/>
          <w14:textFill>
            <w14:solidFill>
              <w14:schemeClr w14:val="tx1"/>
            </w14:solidFill>
          </w14:textFill>
        </w:rPr>
        <w:t xml:space="preserve"> </w:t>
      </w: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0" w:name="_Toc43367677"/>
      <w:r>
        <w:rPr>
          <w:rFonts w:hint="eastAsia"/>
          <w:color w:val="000000" w:themeColor="text1"/>
          <w14:textFill>
            <w14:solidFill>
              <w14:schemeClr w14:val="tx1"/>
            </w14:solidFill>
          </w14:textFill>
        </w:rPr>
        <w:t>第一部分</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竞争性磋商采购公告</w:t>
      </w:r>
      <w:bookmarkEnd w:id="0"/>
    </w:p>
    <w:p>
      <w:pPr>
        <w:spacing w:line="360" w:lineRule="auto"/>
        <w:ind w:firstLine="496" w:firstLineChars="200"/>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南通大学拟采取</w:t>
      </w:r>
      <w:r>
        <w:rPr>
          <w:rFonts w:hint="eastAsia" w:ascii="宋体" w:hAnsi="宋体"/>
          <w:b/>
          <w:color w:val="000000" w:themeColor="text1"/>
          <w:spacing w:val="4"/>
          <w:sz w:val="24"/>
          <w14:textFill>
            <w14:solidFill>
              <w14:schemeClr w14:val="tx1"/>
            </w14:solidFill>
          </w14:textFill>
        </w:rPr>
        <w:t>竞争性磋商</w:t>
      </w:r>
      <w:r>
        <w:rPr>
          <w:rFonts w:hint="eastAsia" w:ascii="宋体" w:hAnsi="宋体"/>
          <w:color w:val="000000" w:themeColor="text1"/>
          <w:spacing w:val="4"/>
          <w:sz w:val="24"/>
          <w14:textFill>
            <w14:solidFill>
              <w14:schemeClr w14:val="tx1"/>
            </w14:solidFill>
          </w14:textFill>
        </w:rPr>
        <w:t>方式购买</w:t>
      </w:r>
      <w:r>
        <w:rPr>
          <w:rFonts w:hint="eastAsia" w:ascii="宋体" w:hAnsi="宋体"/>
          <w:b/>
          <w:color w:val="000000"/>
          <w:spacing w:val="4"/>
          <w:sz w:val="24"/>
        </w:rPr>
        <w:t>启东校区不锈钢衣柜</w:t>
      </w:r>
      <w:r>
        <w:rPr>
          <w:rFonts w:hint="eastAsia" w:ascii="宋体" w:hAnsi="宋体"/>
          <w:color w:val="000000" w:themeColor="text1"/>
          <w:spacing w:val="4"/>
          <w:sz w:val="24"/>
          <w14:textFill>
            <w14:solidFill>
              <w14:schemeClr w14:val="tx1"/>
            </w14:solidFill>
          </w14:textFill>
        </w:rPr>
        <w:t>，现就相关事宜公告如下：</w:t>
      </w:r>
    </w:p>
    <w:p>
      <w:pPr>
        <w:spacing w:line="360" w:lineRule="auto"/>
        <w:ind w:firstLine="498" w:firstLineChars="200"/>
        <w:rPr>
          <w:rFonts w:ascii="宋体"/>
          <w:bCs/>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一、项目名称：</w:t>
      </w:r>
      <w:r>
        <w:rPr>
          <w:rFonts w:hint="eastAsia" w:ascii="宋体" w:hAnsi="宋体"/>
          <w:b/>
          <w:color w:val="000000"/>
          <w:spacing w:val="4"/>
          <w:sz w:val="24"/>
        </w:rPr>
        <w:t>启东校区不锈钢衣柜</w:t>
      </w:r>
    </w:p>
    <w:p>
      <w:pPr>
        <w:spacing w:line="360" w:lineRule="auto"/>
        <w:ind w:firstLine="498" w:firstLineChars="200"/>
        <w:rPr>
          <w:rFonts w:asci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二、项目编号</w:t>
      </w:r>
      <w:r>
        <w:rPr>
          <w:rFonts w:hint="eastAsia" w:ascii="宋体" w:hAnsi="宋体"/>
          <w:b/>
          <w:color w:val="000000"/>
          <w:spacing w:val="4"/>
          <w:sz w:val="24"/>
        </w:rPr>
        <w:t>：Q</w:t>
      </w:r>
      <w:r>
        <w:rPr>
          <w:rFonts w:ascii="宋体" w:hAnsi="宋体"/>
          <w:b/>
          <w:color w:val="000000"/>
          <w:spacing w:val="4"/>
          <w:sz w:val="24"/>
        </w:rPr>
        <w:t>J2020-01</w:t>
      </w:r>
    </w:p>
    <w:p>
      <w:pPr>
        <w:spacing w:line="360" w:lineRule="auto"/>
        <w:ind w:firstLine="498" w:firstLineChars="200"/>
        <w:rPr>
          <w:rFonts w:asci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三、货物品名、数量及技术规格：</w:t>
      </w:r>
      <w:r>
        <w:rPr>
          <w:rFonts w:hint="eastAsia" w:ascii="宋体" w:hAnsi="宋体"/>
          <w:color w:val="000000" w:themeColor="text1"/>
          <w:spacing w:val="4"/>
          <w:sz w:val="24"/>
          <w14:textFill>
            <w14:solidFill>
              <w14:schemeClr w14:val="tx1"/>
            </w14:solidFill>
          </w14:textFill>
        </w:rPr>
        <w:t>详见本文件第三部分“采购项目要求及相关说明”。</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四、项目预算：</w:t>
      </w:r>
      <w:r>
        <w:rPr>
          <w:rFonts w:ascii="宋体" w:hAnsi="宋体"/>
          <w:b/>
          <w:color w:val="000000" w:themeColor="text1"/>
          <w:spacing w:val="4"/>
          <w:sz w:val="24"/>
          <w14:textFill>
            <w14:solidFill>
              <w14:schemeClr w14:val="tx1"/>
            </w14:solidFill>
          </w14:textFill>
        </w:rPr>
        <w:t>7.2</w:t>
      </w:r>
      <w:r>
        <w:rPr>
          <w:rFonts w:hint="eastAsia" w:ascii="宋体" w:hAnsi="宋体"/>
          <w:b/>
          <w:color w:val="000000" w:themeColor="text1"/>
          <w:sz w:val="24"/>
          <w14:textFill>
            <w14:solidFill>
              <w14:schemeClr w14:val="tx1"/>
            </w14:solidFill>
          </w14:textFill>
        </w:rPr>
        <w:t>万元。</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五、合格的投标人</w:t>
      </w:r>
    </w:p>
    <w:p>
      <w:pPr>
        <w:pStyle w:val="15"/>
        <w:spacing w:line="360" w:lineRule="auto"/>
        <w:ind w:firstLine="465"/>
        <w:rPr>
          <w:rFonts w:ascii="微软雅黑" w:hAnsi="微软雅黑" w:eastAsia="微软雅黑"/>
          <w:sz w:val="21"/>
          <w:szCs w:val="21"/>
        </w:rPr>
      </w:pPr>
      <w:r>
        <w:rPr>
          <w:rFonts w:hint="eastAsia"/>
          <w:color w:val="000000"/>
        </w:rPr>
        <w:t>参加本次竞争性磋商活动的投标人除应当符合《中华人民共和国政府采购法》第二十二条的规定外，还必须具备以下条件：</w:t>
      </w:r>
    </w:p>
    <w:p>
      <w:pPr>
        <w:pStyle w:val="15"/>
        <w:spacing w:line="360" w:lineRule="auto"/>
        <w:ind w:firstLine="480"/>
        <w:rPr>
          <w:rFonts w:ascii="微软雅黑" w:hAnsi="微软雅黑" w:eastAsia="微软雅黑"/>
          <w:sz w:val="21"/>
          <w:szCs w:val="21"/>
        </w:rPr>
      </w:pPr>
      <w:r>
        <w:rPr>
          <w:rFonts w:ascii="Times New Roman" w:hAnsi="Times New Roman" w:eastAsia="微软雅黑" w:cs="Times New Roman"/>
          <w:color w:val="000000"/>
        </w:rPr>
        <w:t>1</w:t>
      </w:r>
      <w:r>
        <w:rPr>
          <w:rFonts w:hint="eastAsia"/>
          <w:color w:val="000000"/>
        </w:rPr>
        <w:t>、经国家工商行政管理机关注册的企业法人或其他组织，具有独立承担民事责任的能力；</w:t>
      </w:r>
    </w:p>
    <w:p>
      <w:pPr>
        <w:pStyle w:val="15"/>
        <w:spacing w:line="360" w:lineRule="auto"/>
        <w:ind w:firstLine="480"/>
        <w:rPr>
          <w:rFonts w:ascii="微软雅黑" w:hAnsi="微软雅黑" w:eastAsia="微软雅黑"/>
          <w:sz w:val="21"/>
          <w:szCs w:val="21"/>
        </w:rPr>
      </w:pPr>
      <w:r>
        <w:rPr>
          <w:rFonts w:ascii="Times New Roman" w:hAnsi="Times New Roman" w:eastAsia="微软雅黑" w:cs="Times New Roman"/>
          <w:color w:val="000000"/>
        </w:rPr>
        <w:t>2</w:t>
      </w:r>
      <w:r>
        <w:rPr>
          <w:rFonts w:hint="eastAsia"/>
          <w:color w:val="000000"/>
        </w:rPr>
        <w:t>、招标货物的专业制造厂（商）或销售商；</w:t>
      </w:r>
    </w:p>
    <w:p>
      <w:pPr>
        <w:pStyle w:val="15"/>
        <w:spacing w:line="360" w:lineRule="auto"/>
        <w:ind w:firstLine="480"/>
        <w:rPr>
          <w:rFonts w:ascii="微软雅黑" w:hAnsi="微软雅黑" w:eastAsia="微软雅黑"/>
          <w:sz w:val="21"/>
          <w:szCs w:val="21"/>
        </w:rPr>
      </w:pPr>
      <w:r>
        <w:rPr>
          <w:rFonts w:ascii="Times New Roman" w:hAnsi="Times New Roman" w:eastAsia="微软雅黑" w:cs="Times New Roman"/>
          <w:color w:val="000000"/>
        </w:rPr>
        <w:t>3</w:t>
      </w:r>
      <w:r>
        <w:rPr>
          <w:rFonts w:hint="eastAsia"/>
          <w:color w:val="000000"/>
        </w:rPr>
        <w:t>、具有本次招标货物的供货、安装、售后服务等的相应经验和能力；</w:t>
      </w:r>
    </w:p>
    <w:p>
      <w:pPr>
        <w:pStyle w:val="15"/>
        <w:spacing w:line="360" w:lineRule="auto"/>
        <w:ind w:firstLine="480"/>
        <w:rPr>
          <w:rFonts w:ascii="微软雅黑" w:hAnsi="微软雅黑" w:eastAsia="微软雅黑"/>
          <w:sz w:val="21"/>
          <w:szCs w:val="21"/>
        </w:rPr>
      </w:pPr>
      <w:r>
        <w:rPr>
          <w:rFonts w:ascii="Times New Roman" w:hAnsi="Times New Roman" w:eastAsia="微软雅黑" w:cs="Times New Roman"/>
          <w:color w:val="000000"/>
        </w:rPr>
        <w:t>4</w:t>
      </w:r>
      <w:r>
        <w:rPr>
          <w:rFonts w:hint="eastAsia"/>
          <w:color w:val="000000"/>
        </w:rPr>
        <w:t>、进口设备要有厂家授权或者本项目的专项授权；</w:t>
      </w:r>
    </w:p>
    <w:p>
      <w:pPr>
        <w:pStyle w:val="15"/>
        <w:spacing w:line="360" w:lineRule="auto"/>
        <w:ind w:firstLine="480"/>
        <w:rPr>
          <w:rFonts w:ascii="微软雅黑" w:hAnsi="微软雅黑" w:eastAsia="微软雅黑"/>
          <w:sz w:val="21"/>
          <w:szCs w:val="21"/>
        </w:rPr>
      </w:pPr>
      <w:r>
        <w:rPr>
          <w:rFonts w:hint="eastAsia"/>
        </w:rPr>
        <w:t>5、</w:t>
      </w:r>
      <w:r>
        <w:rPr>
          <w:rFonts w:hint="eastAsia"/>
          <w:color w:val="000000"/>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行业限制投标期间的记录等情形。</w:t>
      </w:r>
    </w:p>
    <w:p>
      <w:pPr>
        <w:spacing w:line="360" w:lineRule="auto"/>
        <w:ind w:firstLine="498" w:firstLineChars="200"/>
        <w:rPr>
          <w:rFonts w:ascii="宋体" w:cs="宋体"/>
          <w:b/>
          <w:color w:val="000000" w:themeColor="text1"/>
          <w:spacing w:val="2"/>
          <w:kern w:val="0"/>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六、投标人资格审查方式：</w:t>
      </w:r>
      <w:r>
        <w:rPr>
          <w:rFonts w:hint="eastAsia" w:ascii="宋体" w:hAnsi="宋体" w:cs="宋体"/>
          <w:color w:val="000000" w:themeColor="text1"/>
          <w:spacing w:val="2"/>
          <w:kern w:val="0"/>
          <w:sz w:val="24"/>
          <w14:textFill>
            <w14:solidFill>
              <w14:schemeClr w14:val="tx1"/>
            </w14:solidFill>
          </w14:textFill>
        </w:rPr>
        <w:t>资格后审。</w:t>
      </w:r>
    </w:p>
    <w:p>
      <w:pPr>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七</w:t>
      </w:r>
      <w:r>
        <w:rPr>
          <w:rFonts w:hint="eastAsia" w:ascii="宋体" w:hAnsi="宋体"/>
          <w:b/>
          <w:color w:val="000000" w:themeColor="text1"/>
          <w:spacing w:val="4"/>
          <w:sz w:val="24"/>
          <w14:textFill>
            <w14:solidFill>
              <w14:schemeClr w14:val="tx1"/>
            </w14:solidFill>
          </w14:textFill>
        </w:rPr>
        <w:t>、竞争性磋商文件获取：</w:t>
      </w:r>
      <w:r>
        <w:rPr>
          <w:rFonts w:hint="eastAsia"/>
          <w:color w:val="000000" w:themeColor="text1"/>
          <w:sz w:val="24"/>
          <w14:textFill>
            <w14:solidFill>
              <w14:schemeClr w14:val="tx1"/>
            </w14:solidFill>
          </w14:textFill>
        </w:rPr>
        <w:t>投标人自行登录南通大学启东校区建设指挥部主页</w:t>
      </w:r>
      <w:r>
        <w:fldChar w:fldCharType="begin"/>
      </w:r>
      <w:r>
        <w:instrText xml:space="preserve"> HYPERLINK "https://qdxqjsb.ntu.edu.cn/" </w:instrText>
      </w:r>
      <w:r>
        <w:fldChar w:fldCharType="separate"/>
      </w:r>
      <w:r>
        <w:rPr>
          <w:rStyle w:val="22"/>
        </w:rPr>
        <w:t>https://qdxqjsb.ntu.edu.cn/</w:t>
      </w:r>
      <w:r>
        <w:rPr>
          <w:rStyle w:val="22"/>
        </w:rPr>
        <w:fldChar w:fldCharType="end"/>
      </w:r>
      <w:r>
        <w:rPr>
          <w:rStyle w:val="22"/>
          <w:rFonts w:hint="eastAsia"/>
        </w:rPr>
        <w:t>或</w:t>
      </w:r>
      <w:r>
        <w:rPr>
          <w:rFonts w:hint="eastAsia"/>
          <w:color w:val="000000" w:themeColor="text1"/>
          <w:sz w:val="24"/>
          <w14:textFill>
            <w14:solidFill>
              <w14:schemeClr w14:val="tx1"/>
            </w14:solidFill>
          </w14:textFill>
        </w:rPr>
        <w:t>南通大学杏林学院主页</w:t>
      </w:r>
      <w:r>
        <w:fldChar w:fldCharType="begin"/>
      </w:r>
      <w:r>
        <w:instrText xml:space="preserve"> HYPERLINK "https://xlxy.ntu.edu.cn/" </w:instrText>
      </w:r>
      <w:r>
        <w:fldChar w:fldCharType="separate"/>
      </w:r>
      <w:r>
        <w:rPr>
          <w:rStyle w:val="22"/>
        </w:rPr>
        <w:t>https://xlxy.ntu.edu.cn/</w:t>
      </w:r>
      <w:r>
        <w:rPr>
          <w:rStyle w:val="22"/>
        </w:rPr>
        <w:fldChar w:fldCharType="end"/>
      </w:r>
      <w:r>
        <w:rPr>
          <w:rFonts w:hint="eastAsia"/>
          <w:color w:val="000000" w:themeColor="text1"/>
          <w:sz w:val="24"/>
          <w14:textFill>
            <w14:solidFill>
              <w14:schemeClr w14:val="tx1"/>
            </w14:solidFill>
          </w14:textFill>
        </w:rPr>
        <w:t>下载。</w:t>
      </w:r>
    </w:p>
    <w:p>
      <w:pPr>
        <w:spacing w:line="360" w:lineRule="auto"/>
        <w:ind w:firstLine="482" w:firstLineChars="20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八、招标文件售价：</w:t>
      </w:r>
      <w:r>
        <w:rPr>
          <w:rFonts w:hint="eastAsia"/>
          <w:color w:val="000000" w:themeColor="text1"/>
          <w:sz w:val="24"/>
          <w14:textFill>
            <w14:solidFill>
              <w14:schemeClr w14:val="tx1"/>
            </w14:solidFill>
          </w14:textFill>
        </w:rPr>
        <w:t>人民币</w:t>
      </w:r>
      <w:r>
        <w:rPr>
          <w:color w:val="000000" w:themeColor="text1"/>
          <w:sz w:val="24"/>
          <w14:textFill>
            <w14:solidFill>
              <w14:schemeClr w14:val="tx1"/>
            </w14:solidFill>
          </w14:textFill>
        </w:rPr>
        <w:t>300</w:t>
      </w:r>
      <w:r>
        <w:rPr>
          <w:rFonts w:hint="eastAsia"/>
          <w:color w:val="000000" w:themeColor="text1"/>
          <w:sz w:val="24"/>
          <w14:textFill>
            <w14:solidFill>
              <w14:schemeClr w14:val="tx1"/>
            </w14:solidFill>
          </w14:textFill>
        </w:rPr>
        <w:t>元。（现场缴纳，事后不退。）</w:t>
      </w:r>
    </w:p>
    <w:p>
      <w:pPr>
        <w:spacing w:before="100" w:beforeAutospacing="1" w:after="100" w:afterAutospacing="1" w:line="500" w:lineRule="exact"/>
        <w:ind w:firstLine="482" w:firstLineChars="200"/>
        <w:rPr>
          <w:rFonts w:ascii="微软雅黑" w:hAnsi="微软雅黑" w:eastAsia="微软雅黑" w:cs="宋体"/>
          <w:kern w:val="0"/>
          <w:szCs w:val="21"/>
        </w:rPr>
      </w:pPr>
      <w:r>
        <w:rPr>
          <w:rFonts w:hint="eastAsia" w:cs="宋体" w:asciiTheme="majorEastAsia" w:hAnsiTheme="majorEastAsia" w:eastAsiaTheme="majorEastAsia"/>
          <w:b/>
          <w:kern w:val="0"/>
          <w:sz w:val="24"/>
        </w:rPr>
        <w:t>九、</w:t>
      </w:r>
      <w:r>
        <w:rPr>
          <w:rFonts w:hint="eastAsia" w:ascii="微软雅黑" w:hAnsi="微软雅黑" w:eastAsia="微软雅黑" w:cs="宋体"/>
          <w:b/>
          <w:bCs/>
          <w:kern w:val="0"/>
          <w:sz w:val="24"/>
        </w:rPr>
        <w:t>投标保证金：</w:t>
      </w:r>
      <w:r>
        <w:rPr>
          <w:rFonts w:hint="eastAsia" w:ascii="微软雅黑" w:hAnsi="微软雅黑" w:eastAsia="微软雅黑" w:cs="宋体"/>
          <w:kern w:val="0"/>
          <w:sz w:val="24"/>
        </w:rPr>
        <w:t>人民币</w:t>
      </w:r>
      <w:r>
        <w:rPr>
          <w:rFonts w:ascii="微软雅黑" w:hAnsi="微软雅黑" w:eastAsia="微软雅黑" w:cs="宋体"/>
          <w:kern w:val="0"/>
          <w:sz w:val="24"/>
        </w:rPr>
        <w:t>2</w:t>
      </w:r>
      <w:r>
        <w:rPr>
          <w:rFonts w:hint="eastAsia" w:ascii="微软雅黑" w:hAnsi="微软雅黑" w:eastAsia="微软雅黑" w:cs="宋体"/>
          <w:kern w:val="0"/>
          <w:sz w:val="24"/>
        </w:rPr>
        <w:t>000元，建议</w:t>
      </w:r>
      <w:r>
        <w:rPr>
          <w:rFonts w:hint="eastAsia" w:ascii="微软雅黑" w:hAnsi="微软雅黑" w:eastAsia="微软雅黑" w:cs="宋体"/>
          <w:bCs/>
          <w:kern w:val="0"/>
          <w:sz w:val="24"/>
        </w:rPr>
        <w:t>银行汇票、转账支票等非现金形式，不接受个人转账。</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南通大学账户信息：</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1、单位名称：南通大学</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2、税务登记号码：12320000466012919A</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3、统一社会信用代码：12320000466012919A</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4、开户银行：中国建设银行股份有限公司南通分行营业部</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5、行号：105306000071</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6、账号：32001648636059123123</w:t>
      </w:r>
    </w:p>
    <w:p>
      <w:pPr>
        <w:widowControl/>
        <w:spacing w:before="100" w:beforeAutospacing="1" w:after="100" w:afterAutospacing="1" w:line="500" w:lineRule="exact"/>
        <w:ind w:firstLine="480" w:firstLineChars="200"/>
        <w:jc w:val="left"/>
        <w:rPr>
          <w:rFonts w:ascii="微软雅黑" w:hAnsi="微软雅黑" w:eastAsia="微软雅黑" w:cs="宋体"/>
          <w:kern w:val="0"/>
          <w:szCs w:val="21"/>
        </w:rPr>
      </w:pPr>
      <w:r>
        <w:rPr>
          <w:rFonts w:hint="eastAsia" w:ascii="微软雅黑" w:hAnsi="微软雅黑" w:eastAsia="微软雅黑" w:cs="宋体"/>
          <w:kern w:val="0"/>
          <w:sz w:val="24"/>
        </w:rPr>
        <w:t>7、地址：南通市啬园路9号</w:t>
      </w:r>
    </w:p>
    <w:p>
      <w:pPr>
        <w:widowControl/>
        <w:spacing w:line="480" w:lineRule="auto"/>
        <w:ind w:firstLine="482" w:firstLineChars="200"/>
        <w:jc w:val="left"/>
        <w:rPr>
          <w:rFonts w:ascii="宋体" w:hAnsi="宋体"/>
          <w:color w:val="000000" w:themeColor="text1"/>
          <w:spacing w:val="2"/>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十、投标报名时间：</w:t>
      </w:r>
      <w:r>
        <w:rPr>
          <w:rFonts w:hint="eastAsia" w:ascii="宋体" w:hAnsi="宋体"/>
          <w:color w:val="000000" w:themeColor="text1"/>
          <w:spacing w:val="2"/>
          <w:kern w:val="0"/>
          <w:sz w:val="24"/>
          <w14:textFill>
            <w14:solidFill>
              <w14:schemeClr w14:val="tx1"/>
            </w14:solidFill>
          </w14:textFill>
        </w:rPr>
        <w:t>潜在供应商如确定参加投标，请务必于</w:t>
      </w:r>
      <w:r>
        <w:rPr>
          <w:rFonts w:ascii="宋体" w:hAnsi="宋体"/>
          <w:color w:val="000000" w:themeColor="text1"/>
          <w:spacing w:val="4"/>
          <w:sz w:val="24"/>
          <w14:textFill>
            <w14:solidFill>
              <w14:schemeClr w14:val="tx1"/>
            </w14:solidFill>
          </w14:textFill>
        </w:rPr>
        <w:t>20</w:t>
      </w:r>
      <w:r>
        <w:rPr>
          <w:rFonts w:hint="eastAsia" w:ascii="宋体" w:hAnsi="宋体"/>
          <w:color w:val="000000" w:themeColor="text1"/>
          <w:spacing w:val="4"/>
          <w:sz w:val="24"/>
          <w14:textFill>
            <w14:solidFill>
              <w14:schemeClr w14:val="tx1"/>
            </w14:solidFill>
          </w14:textFill>
        </w:rPr>
        <w:t>20</w:t>
      </w:r>
      <w:r>
        <w:rPr>
          <w:rFonts w:ascii="宋体" w:hAnsi="宋体"/>
          <w:color w:val="000000" w:themeColor="text1"/>
          <w:spacing w:val="4"/>
          <w:sz w:val="24"/>
          <w14:textFill>
            <w14:solidFill>
              <w14:schemeClr w14:val="tx1"/>
            </w14:solidFill>
          </w14:textFill>
        </w:rPr>
        <w:t>年</w:t>
      </w:r>
      <w:r>
        <w:rPr>
          <w:rFonts w:hint="eastAsia" w:ascii="宋体" w:hAnsi="宋体"/>
          <w:color w:val="000000" w:themeColor="text1"/>
          <w:spacing w:val="4"/>
          <w:sz w:val="24"/>
          <w14:textFill>
            <w14:solidFill>
              <w14:schemeClr w14:val="tx1"/>
            </w14:solidFill>
          </w14:textFill>
        </w:rPr>
        <w:t xml:space="preserve">6 </w:t>
      </w:r>
      <w:r>
        <w:rPr>
          <w:rFonts w:ascii="宋体" w:hAnsi="宋体"/>
          <w:color w:val="000000" w:themeColor="text1"/>
          <w:spacing w:val="4"/>
          <w:sz w:val="24"/>
          <w14:textFill>
            <w14:solidFill>
              <w14:schemeClr w14:val="tx1"/>
            </w14:solidFill>
          </w14:textFill>
        </w:rPr>
        <w:t>月28日</w:t>
      </w:r>
      <w:r>
        <w:rPr>
          <w:rFonts w:hint="eastAsia" w:ascii="宋体" w:hAnsi="宋体"/>
          <w:color w:val="000000" w:themeColor="text1"/>
          <w:spacing w:val="4"/>
          <w:sz w:val="24"/>
          <w14:textFill>
            <w14:solidFill>
              <w14:schemeClr w14:val="tx1"/>
            </w14:solidFill>
          </w14:textFill>
        </w:rPr>
        <w:t xml:space="preserve"> </w:t>
      </w:r>
      <w:r>
        <w:rPr>
          <w:rFonts w:ascii="宋体" w:hAnsi="宋体"/>
          <w:color w:val="000000" w:themeColor="text1"/>
          <w:spacing w:val="4"/>
          <w:sz w:val="24"/>
          <w14:textFill>
            <w14:solidFill>
              <w14:schemeClr w14:val="tx1"/>
            </w14:solidFill>
          </w14:textFill>
        </w:rPr>
        <w:t>12</w:t>
      </w:r>
      <w:r>
        <w:rPr>
          <w:rFonts w:hint="eastAsia" w:ascii="宋体" w:hAnsi="宋体"/>
          <w:color w:val="000000" w:themeColor="text1"/>
          <w:spacing w:val="4"/>
          <w:sz w:val="24"/>
          <w14:textFill>
            <w14:solidFill>
              <w14:schemeClr w14:val="tx1"/>
            </w14:solidFill>
          </w14:textFill>
        </w:rPr>
        <w:t>时</w:t>
      </w:r>
      <w:r>
        <w:rPr>
          <w:rFonts w:hint="eastAsia" w:ascii="宋体" w:hAnsi="宋体"/>
          <w:color w:val="000000" w:themeColor="text1"/>
          <w:spacing w:val="2"/>
          <w:kern w:val="0"/>
          <w:sz w:val="24"/>
          <w14:textFill>
            <w14:solidFill>
              <w14:schemeClr w14:val="tx1"/>
            </w14:solidFill>
          </w14:textFill>
        </w:rPr>
        <w:t>前将“报名投标确认函”（格式见招标文件第五部分“附件8”）填写完整，扫描盖章后并用</w:t>
      </w:r>
      <w:r>
        <w:rPr>
          <w:rFonts w:hint="eastAsia" w:ascii="宋体" w:hAnsi="宋体"/>
          <w:b/>
          <w:bCs/>
          <w:color w:val="000000" w:themeColor="text1"/>
          <w:sz w:val="24"/>
          <w14:textFill>
            <w14:solidFill>
              <w14:schemeClr w14:val="tx1"/>
            </w14:solidFill>
          </w14:textFill>
        </w:rPr>
        <w:t>“项目名称+投标公司名称”</w:t>
      </w:r>
      <w:r>
        <w:rPr>
          <w:rFonts w:hint="eastAsia" w:ascii="宋体" w:hAnsi="宋体"/>
          <w:color w:val="000000" w:themeColor="text1"/>
          <w:spacing w:val="2"/>
          <w:kern w:val="0"/>
          <w:sz w:val="24"/>
          <w14:textFill>
            <w14:solidFill>
              <w14:schemeClr w14:val="tx1"/>
            </w14:solidFill>
          </w14:textFill>
        </w:rPr>
        <w:t>作为邮件主题，发送电子邮件至以下</w:t>
      </w:r>
      <w:r>
        <w:rPr>
          <w:rFonts w:ascii="宋体" w:hAnsi="宋体"/>
          <w:color w:val="000000" w:themeColor="text1"/>
          <w:spacing w:val="2"/>
          <w:kern w:val="0"/>
          <w:sz w:val="24"/>
          <w14:textFill>
            <w14:solidFill>
              <w14:schemeClr w14:val="tx1"/>
            </w14:solidFill>
          </w14:textFill>
        </w:rPr>
        <w:t>邮箱</w:t>
      </w:r>
      <w:r>
        <w:rPr>
          <w:rFonts w:hint="eastAsia" w:ascii="宋体" w:hAnsi="宋体"/>
          <w:color w:val="000000" w:themeColor="text1"/>
          <w:spacing w:val="2"/>
          <w:kern w:val="0"/>
          <w:sz w:val="24"/>
          <w14:textFill>
            <w14:solidFill>
              <w14:schemeClr w14:val="tx1"/>
            </w14:solidFill>
          </w14:textFill>
        </w:rPr>
        <w:t>：qdxqgwh@ntu.edu.cn</w:t>
      </w:r>
      <w:r>
        <w:rPr>
          <w:rFonts w:ascii="宋体" w:hAnsi="宋体"/>
          <w:color w:val="000000" w:themeColor="text1"/>
          <w:spacing w:val="2"/>
          <w:kern w:val="0"/>
          <w:sz w:val="24"/>
          <w14:textFill>
            <w14:solidFill>
              <w14:schemeClr w14:val="tx1"/>
            </w14:solidFill>
          </w14:textFill>
        </w:rPr>
        <w:t>。</w:t>
      </w:r>
      <w:r>
        <w:rPr>
          <w:rFonts w:hint="eastAsia" w:ascii="宋体" w:hAnsi="宋体"/>
          <w:color w:val="000000" w:themeColor="text1"/>
          <w:spacing w:val="2"/>
          <w:kern w:val="0"/>
          <w:sz w:val="24"/>
          <w14:textFill>
            <w14:solidFill>
              <w14:schemeClr w14:val="tx1"/>
            </w14:solidFill>
          </w14:textFill>
        </w:rPr>
        <w:t>如潜在供应商未按上述要求操作，将自行承担所产生的风险。</w:t>
      </w:r>
    </w:p>
    <w:p>
      <w:pPr>
        <w:spacing w:line="360" w:lineRule="auto"/>
        <w:ind w:firstLine="498" w:firstLineChars="200"/>
        <w:rPr>
          <w:rFonts w:ascii="宋体" w:hAnsi="宋体"/>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十一、投标开始时间：</w:t>
      </w:r>
      <w:r>
        <w:rPr>
          <w:rFonts w:hint="eastAsia" w:ascii="宋体" w:hAnsi="宋体"/>
          <w:color w:val="000000" w:themeColor="text1"/>
          <w:spacing w:val="4"/>
          <w:sz w:val="24"/>
          <w14:textFill>
            <w14:solidFill>
              <w14:schemeClr w14:val="tx1"/>
            </w14:solidFill>
          </w14:textFill>
        </w:rPr>
        <w:t xml:space="preserve">2020年 </w:t>
      </w:r>
      <w:r>
        <w:rPr>
          <w:rFonts w:ascii="宋体" w:hAnsi="宋体"/>
          <w:color w:val="000000" w:themeColor="text1"/>
          <w:spacing w:val="4"/>
          <w:sz w:val="24"/>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月2日</w:t>
      </w:r>
      <w:r>
        <w:rPr>
          <w:rFonts w:ascii="宋体" w:hAnsi="宋体"/>
          <w:color w:val="000000" w:themeColor="text1"/>
          <w:spacing w:val="4"/>
          <w:sz w:val="24"/>
          <w14:textFill>
            <w14:solidFill>
              <w14:schemeClr w14:val="tx1"/>
            </w14:solidFill>
          </w14:textFill>
        </w:rPr>
        <w:t>13</w:t>
      </w:r>
      <w:r>
        <w:rPr>
          <w:rFonts w:hint="eastAsia" w:ascii="宋体" w:hAnsi="宋体"/>
          <w:color w:val="000000" w:themeColor="text1"/>
          <w:spacing w:val="4"/>
          <w:sz w:val="24"/>
          <w14:textFill>
            <w14:solidFill>
              <w14:schemeClr w14:val="tx1"/>
            </w14:solidFill>
          </w14:textFill>
        </w:rPr>
        <w:t>时</w:t>
      </w:r>
      <w:r>
        <w:rPr>
          <w:rFonts w:ascii="宋体" w:hAnsi="宋体"/>
          <w:color w:val="000000" w:themeColor="text1"/>
          <w:spacing w:val="4"/>
          <w:sz w:val="24"/>
          <w14:textFill>
            <w14:solidFill>
              <w14:schemeClr w14:val="tx1"/>
            </w14:solidFill>
          </w14:textFill>
        </w:rPr>
        <w:t>30</w:t>
      </w:r>
      <w:r>
        <w:rPr>
          <w:rFonts w:hint="eastAsia" w:ascii="宋体" w:hAnsi="宋体"/>
          <w:color w:val="000000" w:themeColor="text1"/>
          <w:spacing w:val="4"/>
          <w:sz w:val="24"/>
          <w14:textFill>
            <w14:solidFill>
              <w14:schemeClr w14:val="tx1"/>
            </w14:solidFill>
          </w14:textFill>
        </w:rPr>
        <w:t>分</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十二、投标文件接收截止时间及开标时间</w:t>
      </w:r>
      <w:r>
        <w:rPr>
          <w:rFonts w:hint="eastAsia" w:ascii="宋体"/>
          <w:b/>
          <w:color w:val="000000" w:themeColor="text1"/>
          <w:spacing w:val="4"/>
          <w:sz w:val="24"/>
          <w14:textFill>
            <w14:solidFill>
              <w14:schemeClr w14:val="tx1"/>
            </w14:solidFill>
          </w14:textFill>
        </w:rPr>
        <w:t>：</w:t>
      </w:r>
      <w:r>
        <w:rPr>
          <w:rFonts w:ascii="宋体" w:hAnsi="宋体"/>
          <w:color w:val="000000" w:themeColor="text1"/>
          <w:spacing w:val="2"/>
          <w:kern w:val="0"/>
          <w:sz w:val="24"/>
          <w14:textFill>
            <w14:solidFill>
              <w14:schemeClr w14:val="tx1"/>
            </w14:solidFill>
          </w14:textFill>
        </w:rPr>
        <w:t>2</w:t>
      </w:r>
      <w:r>
        <w:rPr>
          <w:rFonts w:ascii="宋体" w:hAnsi="宋体"/>
          <w:color w:val="000000" w:themeColor="text1"/>
          <w:spacing w:val="4"/>
          <w:sz w:val="24"/>
          <w14:textFill>
            <w14:solidFill>
              <w14:schemeClr w14:val="tx1"/>
            </w14:solidFill>
          </w14:textFill>
        </w:rPr>
        <w:t>0</w:t>
      </w:r>
      <w:r>
        <w:rPr>
          <w:rFonts w:hint="eastAsia" w:ascii="宋体" w:hAnsi="宋体"/>
          <w:color w:val="000000" w:themeColor="text1"/>
          <w:spacing w:val="4"/>
          <w:sz w:val="24"/>
          <w14:textFill>
            <w14:solidFill>
              <w14:schemeClr w14:val="tx1"/>
            </w14:solidFill>
          </w14:textFill>
        </w:rPr>
        <w:t xml:space="preserve">20年 </w:t>
      </w:r>
      <w:r>
        <w:rPr>
          <w:rFonts w:ascii="宋体" w:hAnsi="宋体"/>
          <w:color w:val="000000" w:themeColor="text1"/>
          <w:spacing w:val="4"/>
          <w:sz w:val="24"/>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月</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日</w:t>
      </w:r>
      <w:r>
        <w:rPr>
          <w:rFonts w:ascii="宋体" w:hAnsi="宋体"/>
          <w:color w:val="000000" w:themeColor="text1"/>
          <w:spacing w:val="4"/>
          <w:sz w:val="24"/>
          <w14:textFill>
            <w14:solidFill>
              <w14:schemeClr w14:val="tx1"/>
            </w14:solidFill>
          </w14:textFill>
        </w:rPr>
        <w:t>14</w:t>
      </w:r>
      <w:r>
        <w:rPr>
          <w:rFonts w:hint="eastAsia" w:ascii="宋体" w:hAnsi="宋体"/>
          <w:color w:val="000000" w:themeColor="text1"/>
          <w:spacing w:val="4"/>
          <w:sz w:val="24"/>
          <w14:textFill>
            <w14:solidFill>
              <w14:schemeClr w14:val="tx1"/>
            </w14:solidFill>
          </w14:textFill>
        </w:rPr>
        <w:t>时</w:t>
      </w:r>
    </w:p>
    <w:p>
      <w:pPr>
        <w:spacing w:line="360" w:lineRule="auto"/>
        <w:ind w:firstLine="498" w:firstLineChars="200"/>
        <w:rPr>
          <w:rFonts w:ascii="宋体" w:hAnsi="宋体"/>
          <w:b/>
          <w:color w:val="000000" w:themeColor="text1"/>
          <w:spacing w:val="4"/>
          <w:sz w:val="24"/>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十三、开标地点及评标地点</w:t>
      </w:r>
    </w:p>
    <w:p>
      <w:pPr>
        <w:spacing w:line="360" w:lineRule="auto"/>
        <w:ind w:left="420" w:leftChars="200"/>
        <w:rPr>
          <w:rFonts w:ascii="宋体" w:hAnsi="宋体"/>
          <w:color w:val="000000" w:themeColor="text1"/>
          <w:spacing w:val="2"/>
          <w:kern w:val="0"/>
          <w:sz w:val="24"/>
          <w14:textFill>
            <w14:solidFill>
              <w14:schemeClr w14:val="tx1"/>
            </w14:solidFill>
          </w14:textFill>
        </w:rPr>
      </w:pPr>
      <w:r>
        <w:rPr>
          <w:rFonts w:hint="eastAsia" w:ascii="宋体" w:hAnsi="宋体"/>
          <w:color w:val="000000" w:themeColor="text1"/>
          <w:spacing w:val="2"/>
          <w:kern w:val="0"/>
          <w:sz w:val="24"/>
          <w14:textFill>
            <w14:solidFill>
              <w14:schemeClr w14:val="tx1"/>
            </w14:solidFill>
          </w14:textFill>
        </w:rPr>
        <w:t>开标地点：南通大学启东校区综合楼2</w:t>
      </w:r>
      <w:r>
        <w:rPr>
          <w:rFonts w:ascii="宋体" w:hAnsi="宋体"/>
          <w:color w:val="000000" w:themeColor="text1"/>
          <w:spacing w:val="2"/>
          <w:kern w:val="0"/>
          <w:sz w:val="24"/>
          <w14:textFill>
            <w14:solidFill>
              <w14:schemeClr w14:val="tx1"/>
            </w14:solidFill>
          </w14:textFill>
        </w:rPr>
        <w:t>01</w:t>
      </w:r>
      <w:r>
        <w:rPr>
          <w:rFonts w:hint="eastAsia" w:ascii="宋体" w:hAnsi="宋体"/>
          <w:color w:val="000000" w:themeColor="text1"/>
          <w:spacing w:val="2"/>
          <w:kern w:val="0"/>
          <w:sz w:val="24"/>
          <w14:textFill>
            <w14:solidFill>
              <w14:schemeClr w14:val="tx1"/>
            </w14:solidFill>
          </w14:textFill>
        </w:rPr>
        <w:t>（即：投标文件接收地点）</w:t>
      </w:r>
    </w:p>
    <w:p>
      <w:pPr>
        <w:spacing w:line="360" w:lineRule="auto"/>
        <w:ind w:left="420" w:leftChars="200"/>
        <w:rPr>
          <w:rFonts w:ascii="宋体" w:hAnsi="宋体"/>
          <w:color w:val="000000" w:themeColor="text1"/>
          <w:spacing w:val="2"/>
          <w:kern w:val="0"/>
          <w:sz w:val="24"/>
          <w14:textFill>
            <w14:solidFill>
              <w14:schemeClr w14:val="tx1"/>
            </w14:solidFill>
          </w14:textFill>
        </w:rPr>
      </w:pPr>
      <w:r>
        <w:rPr>
          <w:rFonts w:hint="eastAsia" w:ascii="宋体" w:hAnsi="宋体"/>
          <w:color w:val="000000" w:themeColor="text1"/>
          <w:spacing w:val="2"/>
          <w:kern w:val="0"/>
          <w:sz w:val="24"/>
          <w14:textFill>
            <w14:solidFill>
              <w14:schemeClr w14:val="tx1"/>
            </w14:solidFill>
          </w14:textFill>
        </w:rPr>
        <w:t>评标地点：南通大学启东校区综合楼3</w:t>
      </w:r>
      <w:r>
        <w:rPr>
          <w:rFonts w:ascii="宋体" w:hAnsi="宋体"/>
          <w:color w:val="000000" w:themeColor="text1"/>
          <w:spacing w:val="2"/>
          <w:kern w:val="0"/>
          <w:sz w:val="24"/>
          <w14:textFill>
            <w14:solidFill>
              <w14:schemeClr w14:val="tx1"/>
            </w14:solidFill>
          </w14:textFill>
        </w:rPr>
        <w:t xml:space="preserve">06    </w:t>
      </w:r>
    </w:p>
    <w:p>
      <w:pPr>
        <w:spacing w:line="360" w:lineRule="auto"/>
        <w:ind w:firstLine="490" w:firstLineChars="200"/>
        <w:rPr>
          <w:rFonts w:ascii="宋体"/>
          <w:b/>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十四、与本次谈判有关的事宜请按下列通讯方式联系</w:t>
      </w:r>
    </w:p>
    <w:p>
      <w:pPr>
        <w:spacing w:line="360" w:lineRule="auto"/>
        <w:ind w:firstLine="488" w:firstLineChars="200"/>
        <w:rPr>
          <w:rFonts w:ascii="宋体" w:hAnsi="宋体"/>
          <w:color w:val="000000" w:themeColor="text1"/>
          <w:spacing w:val="2"/>
          <w:kern w:val="0"/>
          <w:sz w:val="24"/>
          <w14:textFill>
            <w14:solidFill>
              <w14:schemeClr w14:val="tx1"/>
            </w14:solidFill>
          </w14:textFill>
        </w:rPr>
      </w:pPr>
      <w:r>
        <w:rPr>
          <w:rFonts w:hint="eastAsia" w:ascii="宋体" w:hAnsi="宋体"/>
          <w:color w:val="000000" w:themeColor="text1"/>
          <w:spacing w:val="2"/>
          <w:kern w:val="0"/>
          <w:sz w:val="24"/>
          <w14:textFill>
            <w14:solidFill>
              <w14:schemeClr w14:val="tx1"/>
            </w14:solidFill>
          </w14:textFill>
        </w:rPr>
        <w:t>如对技术条款有疑问请咨询项目联系人；如对商务条款、采购程序及结果有质疑请咨询招标联系人。</w:t>
      </w:r>
    </w:p>
    <w:p>
      <w:pPr>
        <w:spacing w:line="360" w:lineRule="auto"/>
        <w:ind w:firstLine="490" w:firstLineChars="200"/>
      </w:pPr>
      <w:r>
        <w:rPr>
          <w:rFonts w:hint="eastAsia" w:ascii="宋体" w:hAnsi="宋体"/>
          <w:b/>
          <w:color w:val="000000" w:themeColor="text1"/>
          <w:spacing w:val="2"/>
          <w:kern w:val="0"/>
          <w:sz w:val="24"/>
          <w14:textFill>
            <w14:solidFill>
              <w14:schemeClr w14:val="tx1"/>
            </w14:solidFill>
          </w14:textFill>
        </w:rPr>
        <w:t>项目联系人:</w:t>
      </w:r>
      <w:r>
        <w:t xml:space="preserve"> </w:t>
      </w:r>
      <w:r>
        <w:rPr>
          <w:rFonts w:hint="eastAsia"/>
        </w:rPr>
        <w:t xml:space="preserve"> 崔</w:t>
      </w:r>
      <w:r>
        <w:rPr>
          <w:rFonts w:hint="eastAsia"/>
          <w:sz w:val="24"/>
        </w:rPr>
        <w:t xml:space="preserve">老师 </w:t>
      </w:r>
      <w:r>
        <w:rPr>
          <w:sz w:val="24"/>
        </w:rPr>
        <w:t xml:space="preserve"> </w:t>
      </w:r>
      <w:r>
        <w:rPr>
          <w:rFonts w:ascii="宋体" w:hAnsi="宋体"/>
          <w:color w:val="000000" w:themeColor="text1"/>
          <w:spacing w:val="2"/>
          <w:kern w:val="0"/>
          <w:sz w:val="24"/>
          <w14:textFill>
            <w14:solidFill>
              <w14:schemeClr w14:val="tx1"/>
            </w14:solidFill>
          </w14:textFill>
        </w:rPr>
        <w:t>13515209846</w:t>
      </w:r>
    </w:p>
    <w:p>
      <w:pPr>
        <w:spacing w:line="360" w:lineRule="auto"/>
        <w:ind w:firstLine="490" w:firstLineChars="200"/>
        <w:rPr>
          <w:rFonts w:ascii="宋体"/>
          <w:color w:val="000000" w:themeColor="text1"/>
          <w:spacing w:val="2"/>
          <w:kern w:val="0"/>
          <w:sz w:val="24"/>
          <w14:textFill>
            <w14:solidFill>
              <w14:schemeClr w14:val="tx1"/>
            </w14:solidFill>
          </w14:textFill>
        </w:rPr>
      </w:pPr>
      <w:r>
        <w:rPr>
          <w:rFonts w:hint="eastAsia" w:ascii="宋体" w:hAnsi="宋体"/>
          <w:b/>
          <w:color w:val="000000" w:themeColor="text1"/>
          <w:spacing w:val="2"/>
          <w:kern w:val="0"/>
          <w:sz w:val="24"/>
          <w14:textFill>
            <w14:solidFill>
              <w14:schemeClr w14:val="tx1"/>
            </w14:solidFill>
          </w14:textFill>
        </w:rPr>
        <w:t>招标联系人及联系方式：</w:t>
      </w:r>
      <w:r>
        <w:rPr>
          <w:rFonts w:hint="eastAsia" w:ascii="宋体" w:hAnsi="宋体"/>
          <w:color w:val="000000" w:themeColor="text1"/>
          <w:spacing w:val="2"/>
          <w:kern w:val="0"/>
          <w:sz w:val="24"/>
          <w14:textFill>
            <w14:solidFill>
              <w14:schemeClr w14:val="tx1"/>
            </w14:solidFill>
          </w14:textFill>
        </w:rPr>
        <w:t>姚老师</w:t>
      </w:r>
      <w:r>
        <w:rPr>
          <w:rFonts w:ascii="宋体" w:hAnsi="宋体"/>
          <w:color w:val="000000" w:themeColor="text1"/>
          <w:spacing w:val="2"/>
          <w:kern w:val="0"/>
          <w:sz w:val="24"/>
          <w14:textFill>
            <w14:solidFill>
              <w14:schemeClr w14:val="tx1"/>
            </w14:solidFill>
          </w14:textFill>
        </w:rPr>
        <w:t>13615208656</w:t>
      </w:r>
    </w:p>
    <w:p>
      <w:pPr>
        <w:spacing w:line="360" w:lineRule="auto"/>
        <w:ind w:firstLine="488" w:firstLineChars="200"/>
        <w:rPr>
          <w:rFonts w:ascii="宋体" w:hAnsi="宋体"/>
          <w:color w:val="000000" w:themeColor="text1"/>
          <w:spacing w:val="2"/>
          <w:kern w:val="0"/>
          <w:sz w:val="24"/>
          <w14:textFill>
            <w14:solidFill>
              <w14:schemeClr w14:val="tx1"/>
            </w14:solidFill>
          </w14:textFill>
        </w:rPr>
      </w:pPr>
    </w:p>
    <w:p>
      <w:pPr>
        <w:pStyle w:val="2"/>
        <w:jc w:val="center"/>
        <w:rPr>
          <w:rFonts w:ascii="宋体"/>
          <w:b w:val="0"/>
          <w:color w:val="000000" w:themeColor="text1"/>
          <w14:textFill>
            <w14:solidFill>
              <w14:schemeClr w14:val="tx1"/>
            </w14:solidFill>
          </w14:textFill>
        </w:rPr>
      </w:pPr>
      <w:r>
        <w:rPr>
          <w:color w:val="000000" w:themeColor="text1"/>
          <w:spacing w:val="4"/>
          <w:sz w:val="24"/>
          <w14:textFill>
            <w14:solidFill>
              <w14:schemeClr w14:val="tx1"/>
            </w14:solidFill>
          </w14:textFill>
        </w:rPr>
        <w:br w:type="page"/>
      </w:r>
      <w:bookmarkStart w:id="1" w:name="_Toc43367678"/>
      <w:r>
        <w:rPr>
          <w:rFonts w:hint="eastAsia"/>
          <w:color w:val="000000" w:themeColor="text1"/>
          <w14:textFill>
            <w14:solidFill>
              <w14:schemeClr w14:val="tx1"/>
            </w14:solidFill>
          </w14:textFill>
        </w:rPr>
        <w:t>第二部分</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投标人须知</w:t>
      </w:r>
      <w:bookmarkEnd w:id="1"/>
    </w:p>
    <w:p>
      <w:pPr>
        <w:pStyle w:val="3"/>
        <w:rPr>
          <w:color w:val="000000" w:themeColor="text1"/>
          <w14:textFill>
            <w14:solidFill>
              <w14:schemeClr w14:val="tx1"/>
            </w14:solidFill>
          </w14:textFill>
        </w:rPr>
      </w:pPr>
      <w:bookmarkStart w:id="2" w:name="_Toc43367679"/>
      <w:r>
        <w:rPr>
          <w:rFonts w:hint="eastAsia"/>
          <w:color w:val="000000" w:themeColor="text1"/>
          <w14:textFill>
            <w14:solidFill>
              <w14:schemeClr w14:val="tx1"/>
            </w14:solidFill>
          </w14:textFill>
        </w:rPr>
        <w:t>一、竞争性磋商文件</w:t>
      </w:r>
      <w:bookmarkEnd w:id="2"/>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本竞争性磋商文件中的采购人、投标人、中标人分别指：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）采购人指南通大学，亦称买方。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）投标人指响应竞争性磋商并具备相应资质的参与谈判的制造（厂）商、代理商。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）中标人指最后中标的投标人，亦称卖方。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color w:val="000000" w:themeColor="text1"/>
          <w:sz w:val="24"/>
          <w14:textFill>
            <w14:solidFill>
              <w14:schemeClr w14:val="tx1"/>
            </w14:solidFill>
          </w14:textFill>
        </w:rPr>
        <w:t>竞争性磋商文件的组成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本竞争性磋商文件由下列部分组成：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）竞争性磋商采购公告</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）投标人须知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）采购货物要求及相关说明</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）商务条款</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color w:val="000000" w:themeColor="text1"/>
          <w:sz w:val="24"/>
          <w14:textFill>
            <w14:solidFill>
              <w14:schemeClr w14:val="tx1"/>
            </w14:solidFill>
          </w14:textFill>
        </w:rPr>
        <w:t>竞争性磋商文件的澄清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如投标人对竞争性磋商文件的某些内容有疑问，应在投标截止时间</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日前以书面形式传真通知采购人，采购人将予以书面答复。采购人认为有必要时，可将答复内容（包括疑问内容，但不包括疑问来源）在南通大学启东校区建设指挥部和南通大学杏林学院网站上公开发布。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color w:val="000000" w:themeColor="text1"/>
          <w:sz w:val="24"/>
          <w14:textFill>
            <w14:solidFill>
              <w14:schemeClr w14:val="tx1"/>
            </w14:solidFill>
          </w14:textFill>
        </w:rPr>
        <w:t>竞争性磋商文件的补充和修改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）采购人有权在投标截止时间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日前对竞争性磋商文件进行补充和修改，补充和修改的内容在南通大学招投标信息网站上公开发布。补充和修改的内容作为竞争性磋商文件的组成部分，对投标人具有同等约束作用。</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）如竞争性磋商文件的补充和修改对投标人准备投标的时间有影响，采购人有权决定推迟投标截止时间和开标时间。</w:t>
      </w:r>
    </w:p>
    <w:p>
      <w:pPr>
        <w:spacing w:line="360" w:lineRule="auto"/>
        <w:ind w:firstLine="472" w:firstLineChars="196"/>
        <w:rPr>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3" w:name="_Toc43367680"/>
      <w:r>
        <w:rPr>
          <w:rFonts w:hint="eastAsia"/>
          <w:color w:val="000000" w:themeColor="text1"/>
          <w14:textFill>
            <w14:solidFill>
              <w14:schemeClr w14:val="tx1"/>
            </w14:solidFill>
          </w14:textFill>
        </w:rPr>
        <w:t>二、投标文件</w:t>
      </w:r>
      <w:bookmarkEnd w:id="3"/>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）投标文件及来往函件均应使用中文。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）授权文件、产品说明书、样本等非中文材料，其中的要点应附有中文译文。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投标人编写的投标文件必须包括</w:t>
      </w:r>
      <w:r>
        <w:rPr>
          <w:rFonts w:hint="eastAsia"/>
          <w:b/>
          <w:color w:val="000000" w:themeColor="text1"/>
          <w:sz w:val="24"/>
          <w14:textFill>
            <w14:solidFill>
              <w14:schemeClr w14:val="tx1"/>
            </w14:solidFill>
          </w14:textFill>
        </w:rPr>
        <w:t>商务文件、资格证明文件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pStyle w:val="41"/>
        <w:numPr>
          <w:ilvl w:val="0"/>
          <w:numId w:val="1"/>
        </w:numPr>
        <w:spacing w:line="360" w:lineRule="auto"/>
        <w:ind w:firstLineChars="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配置清单及分项报价表（格式见附件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pStyle w:val="41"/>
        <w:spacing w:line="360" w:lineRule="auto"/>
        <w:ind w:left="120" w:firstLine="361" w:firstLineChars="15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）不含报价的配置清单（格式见附件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）技术规格响应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）商务条款响应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）售后服务承诺书或技术协议书</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）投标人2016年以来与本次竞争性磋商货物同类产品的销售业绩（5套合同复印件，原件备查）</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）投标产品宣传彩页、合格文件、技术资料等</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）投标人认为需要陈述的其他内容</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资格证明文件：</w:t>
      </w:r>
      <w:r>
        <w:rPr>
          <w:b/>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）营业执照复印件（复印件加盖单位公章）</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）法定代表人资格证明（格式见附件</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）法定代表人授权书（格式见附件</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（4）授权代表近六个月依法缴纳社会保障金的相关证明材料</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（5）投标人近六个月依法缴纳税收的相关证明材料</w:t>
      </w:r>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（6）进口设备</w:t>
      </w:r>
      <w:r>
        <w:rPr>
          <w:rFonts w:ascii="宋体" w:hAnsi="宋体" w:cs="宋体"/>
          <w:color w:val="000000" w:themeColor="text1"/>
          <w:kern w:val="0"/>
          <w:sz w:val="24"/>
          <w14:textFill>
            <w14:solidFill>
              <w14:schemeClr w14:val="tx1"/>
            </w14:solidFill>
          </w14:textFill>
        </w:rPr>
        <w:t>非生产厂家投标，需提供生产厂家（或全国总代、全国独代）出具的销售代理授权书</w:t>
      </w:r>
      <w:r>
        <w:rPr>
          <w:rFonts w:hint="eastAsia" w:ascii="宋体" w:hAnsi="宋体" w:cs="宋体"/>
          <w:color w:val="000000" w:themeColor="text1"/>
          <w:kern w:val="0"/>
          <w:sz w:val="24"/>
          <w14:textFill>
            <w14:solidFill>
              <w14:schemeClr w14:val="tx1"/>
            </w14:solidFill>
          </w14:textFill>
        </w:rPr>
        <w:t>或</w:t>
      </w:r>
      <w:r>
        <w:rPr>
          <w:rFonts w:ascii="宋体" w:hAnsi="宋体" w:cs="宋体"/>
          <w:color w:val="000000" w:themeColor="text1"/>
          <w:kern w:val="0"/>
          <w:sz w:val="24"/>
          <w14:textFill>
            <w14:solidFill>
              <w14:schemeClr w14:val="tx1"/>
            </w14:solidFill>
          </w14:textFill>
        </w:rPr>
        <w:t>本项目的专项投标授权书</w:t>
      </w:r>
      <w:r>
        <w:rPr>
          <w:rFonts w:hint="eastAsia" w:ascii="宋体" w:hAnsi="宋体" w:cs="宋体"/>
          <w:color w:val="000000" w:themeColor="text1"/>
          <w:kern w:val="0"/>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以上资格证明文件的复印件均需加盖投标人公章。</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）投标人需提交商务文件（报价）正、副本各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份，资格证明文件正本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份，技术文件正本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份。</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明确标明商务文件（报价）、资格证明文件和技术文件以及正本和副本。如投标文件正本与副本有不同之处，以正本为准。</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（2）商务文件（报价）、资格证明文件和技术文件须分开独立包装，即：分别装在三个纸袋里。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型纸打印并胶印装订。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2.4.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投标人应将投标文件用封套加以密封，在封口处粘贴密封条，盖骑缝公章，并在封套上标明：</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）收件人：南通大学启东校区建设指挥部</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）竞争性磋商项目编号：</w:t>
      </w:r>
      <w:r>
        <w:rPr>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）竞争性磋商项目名称：</w:t>
      </w:r>
      <w:r>
        <w:rPr>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）投标人名称：</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没有按上述规定密封和标记的投标文件，采购人将不承担投标文件错放或提前开启的责任。</w:t>
      </w:r>
    </w:p>
    <w:p>
      <w:pPr>
        <w:spacing w:line="360" w:lineRule="auto"/>
        <w:ind w:firstLine="472" w:firstLineChars="196"/>
        <w:rPr>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4" w:name="_Toc43367681"/>
      <w:r>
        <w:rPr>
          <w:rFonts w:hint="eastAsia"/>
          <w:color w:val="000000" w:themeColor="text1"/>
          <w14:textFill>
            <w14:solidFill>
              <w14:schemeClr w14:val="tx1"/>
            </w14:solidFill>
          </w14:textFill>
        </w:rPr>
        <w:t>三、投标细则</w:t>
      </w:r>
      <w:bookmarkEnd w:id="4"/>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投标货物</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投标货物必须是全新、未使用过的原装合格正品，不低于招标文件规定的规格、性能和质量的要求，达到国家或行业规定的标准，属于国家强制认证的产品的必须通过认证。</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投标总价应是货物完税后的用户地交货价，其中应包含运输、搬运、安装调试、保修等全部费用，以人民币报价。</w:t>
      </w:r>
    </w:p>
    <w:p>
      <w:pPr>
        <w:widowControl/>
        <w:spacing w:line="440" w:lineRule="exact"/>
        <w:ind w:firstLine="420"/>
        <w:rPr>
          <w:color w:val="000000" w:themeColor="text1"/>
          <w:sz w:val="24"/>
          <w14:textFill>
            <w14:solidFill>
              <w14:schemeClr w14:val="tx1"/>
            </w14:solidFill>
          </w14:textFill>
        </w:rPr>
      </w:pPr>
      <w:bookmarkStart w:id="5" w:name="OLE_LINK49"/>
      <w:bookmarkStart w:id="6" w:name="OLE_LINK50"/>
      <w:r>
        <w:rPr>
          <w:rFonts w:hint="eastAsia"/>
          <w:color w:val="000000" w:themeColor="text1"/>
          <w:sz w:val="24"/>
          <w14:textFill>
            <w14:solidFill>
              <w14:schemeClr w14:val="tx1"/>
            </w14:solidFill>
          </w14:textFill>
        </w:rPr>
        <w:t>报价时应充分考虑所有可能影响到报价的因素，一旦招标结束最终中标，如发生漏、缺、少项，都将被认为是中标人的报价让利行为，损失自负。投标人的任何错漏、优惠、竞争性报价不得作为减轻责任、减少服务、增加收费、降低质量的理由。</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招标人不接受投标人的任何低于成本报价的不正当竞争方式。</w:t>
      </w:r>
      <w:bookmarkStart w:id="7" w:name="OLE_LINK36"/>
      <w:bookmarkStart w:id="8" w:name="OLE_LINK35"/>
      <w:r>
        <w:rPr>
          <w:rFonts w:hint="eastAsia"/>
          <w:color w:val="000000" w:themeColor="text1"/>
          <w:sz w:val="24"/>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7"/>
      <w:bookmarkEnd w:id="8"/>
      <w:r>
        <w:rPr>
          <w:rFonts w:hint="eastAsia"/>
          <w:color w:val="000000" w:themeColor="text1"/>
          <w:sz w:val="24"/>
          <w14:textFill>
            <w14:solidFill>
              <w14:schemeClr w14:val="tx1"/>
            </w14:solidFill>
          </w14:textFill>
        </w:rPr>
        <w:t>。</w:t>
      </w:r>
      <w:bookmarkEnd w:id="5"/>
      <w:bookmarkEnd w:id="6"/>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）投标人应仔细阅读招标文件的所有内容并做出实质性的响应，同时按招标文件规定的要求和格式，提交完整的投标文件。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）投标文件应在投标截止时间前送达指定地点，</w:t>
      </w:r>
      <w:r>
        <w:rPr>
          <w:rFonts w:hint="eastAsia" w:ascii="黑体" w:eastAsia="黑体"/>
          <w:b/>
          <w:color w:val="000000" w:themeColor="text1"/>
          <w:sz w:val="24"/>
          <w14:textFill>
            <w14:solidFill>
              <w14:schemeClr w14:val="tx1"/>
            </w14:solidFill>
          </w14:textFill>
        </w:rPr>
        <w:t>逾期送达或未送达指定地点以及未按招标文件要求密封的投标文件，投标人须自行承担相应风险。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）招标人不接受电报、电话、传真及电子邮件投标。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）投标截止时间前投标人可以撤标，但在投标截止时间后不允许撤标。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3.5. </w:t>
      </w:r>
      <w:r>
        <w:rPr>
          <w:rFonts w:hint="eastAsia"/>
          <w:color w:val="000000" w:themeColor="text1"/>
          <w:sz w:val="24"/>
          <w14:textFill>
            <w14:solidFill>
              <w14:schemeClr w14:val="tx1"/>
            </w14:solidFill>
          </w14:textFill>
        </w:rPr>
        <w:t>分包投标</w:t>
      </w:r>
    </w:p>
    <w:p>
      <w:pPr>
        <w:spacing w:line="360" w:lineRule="auto"/>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本次招标不可分包投标和中标。</w:t>
      </w:r>
    </w:p>
    <w:p>
      <w:pPr>
        <w:spacing w:line="360" w:lineRule="auto"/>
        <w:ind w:firstLine="482" w:firstLineChars="200"/>
        <w:rPr>
          <w:rFonts w:ascii="宋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3.6. </w:t>
      </w:r>
      <w:r>
        <w:rPr>
          <w:rFonts w:hint="eastAsia" w:ascii="宋体" w:hAnsi="宋体"/>
          <w:color w:val="000000" w:themeColor="text1"/>
          <w:sz w:val="24"/>
          <w14:textFill>
            <w14:solidFill>
              <w14:schemeClr w14:val="tx1"/>
            </w14:solidFill>
          </w14:textFill>
        </w:rPr>
        <w:t>联合体投标</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本次招标不接受联合体投标。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3.7.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3.8. </w:t>
      </w:r>
      <w:r>
        <w:rPr>
          <w:rFonts w:hint="eastAsia"/>
          <w:color w:val="000000" w:themeColor="text1"/>
          <w:sz w:val="24"/>
          <w14:textFill>
            <w14:solidFill>
              <w14:schemeClr w14:val="tx1"/>
            </w14:solidFill>
          </w14:textFill>
        </w:rPr>
        <w:t>招标终止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投标截止后，如投标人少于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个，招标人有权选择其他采购方式或终止本次招标。</w:t>
      </w:r>
    </w:p>
    <w:p>
      <w:pPr>
        <w:pStyle w:val="3"/>
        <w:rPr>
          <w:color w:val="000000" w:themeColor="text1"/>
          <w14:textFill>
            <w14:solidFill>
              <w14:schemeClr w14:val="tx1"/>
            </w14:solidFill>
          </w14:textFill>
        </w:rPr>
      </w:pPr>
      <w:bookmarkStart w:id="9" w:name="_Toc43367682"/>
      <w:r>
        <w:rPr>
          <w:rFonts w:hint="eastAsia"/>
          <w:color w:val="000000" w:themeColor="text1"/>
          <w14:textFill>
            <w14:solidFill>
              <w14:schemeClr w14:val="tx1"/>
            </w14:solidFill>
          </w14:textFill>
        </w:rPr>
        <w:t>四、评标</w:t>
      </w:r>
      <w:bookmarkEnd w:id="9"/>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采购人按规定的时间和地点进行公开磋商，投标人须派代表（持授权代表身份证明）参加磋商。</w:t>
      </w:r>
      <w:r>
        <w:rPr>
          <w:rFonts w:hint="eastAsia" w:ascii="黑体" w:eastAsia="黑体"/>
          <w:b/>
          <w:color w:val="000000" w:themeColor="text1"/>
          <w:sz w:val="24"/>
          <w14:textFill>
            <w14:solidFill>
              <w14:schemeClr w14:val="tx1"/>
            </w14:solidFill>
          </w14:textFill>
        </w:rPr>
        <w:t>投标人未派代表参加磋商的，视为自动放弃本次投标。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4.2. </w:t>
      </w:r>
      <w:r>
        <w:rPr>
          <w:rFonts w:hint="eastAsia"/>
          <w:color w:val="000000" w:themeColor="text1"/>
          <w:sz w:val="24"/>
          <w14:textFill>
            <w14:solidFill>
              <w14:schemeClr w14:val="tx1"/>
            </w14:solidFill>
          </w14:textFill>
        </w:rPr>
        <w:t>采购人组织用户代表和</w:t>
      </w:r>
      <w:r>
        <w:rPr>
          <w:rFonts w:hint="eastAsia" w:ascii="宋体"/>
          <w:color w:val="000000" w:themeColor="text1"/>
          <w:sz w:val="24"/>
          <w:lang w:val="zh-CN"/>
          <w14:textFill>
            <w14:solidFill>
              <w14:schemeClr w14:val="tx1"/>
            </w14:solidFill>
          </w14:textFill>
        </w:rPr>
        <w:t>有关技术、经济方面的</w:t>
      </w:r>
      <w:r>
        <w:rPr>
          <w:rFonts w:hint="eastAsia"/>
          <w:color w:val="000000" w:themeColor="text1"/>
          <w:sz w:val="24"/>
          <w14:textFill>
            <w14:solidFill>
              <w14:schemeClr w14:val="tx1"/>
            </w14:solidFill>
          </w14:textFill>
        </w:rPr>
        <w:t>专家组成磋商小组进行谈判。</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4.3. </w:t>
      </w:r>
      <w:r>
        <w:rPr>
          <w:rFonts w:hint="eastAsia"/>
          <w:color w:val="000000" w:themeColor="text1"/>
          <w:sz w:val="24"/>
          <w14:textFill>
            <w14:solidFill>
              <w14:schemeClr w14:val="tx1"/>
            </w14:solidFill>
          </w14:textFill>
        </w:rPr>
        <w:t>在竞争性磋商之前，采购人和评委要对投标人的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及投标是否对竞争性磋商文件的实质性要求和条件做出响应进行审查。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4.4. </w:t>
      </w:r>
      <w:r>
        <w:rPr>
          <w:rFonts w:hint="eastAsia"/>
          <w:color w:val="000000" w:themeColor="text1"/>
          <w:sz w:val="24"/>
          <w14:textFill>
            <w14:solidFill>
              <w14:schemeClr w14:val="tx1"/>
            </w14:solidFill>
          </w14:textFill>
        </w:rPr>
        <w:t>对竞争性磋商文件的实质性要求和条件做出响应的投标应该是与竞争性磋商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4.5. </w:t>
      </w:r>
      <w:r>
        <w:rPr>
          <w:rFonts w:hint="eastAsia"/>
          <w:color w:val="000000" w:themeColor="text1"/>
          <w:sz w:val="24"/>
          <w14:textFill>
            <w14:solidFill>
              <w14:schemeClr w14:val="tx1"/>
            </w14:solidFill>
          </w14:textFill>
        </w:rPr>
        <w:t>投标文件出现（但不限于）下列情况之一的，由竞争性磋商小组评审后作无效投标或废标处理：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不具备竞争性磋商文件规定的资格条件及未按竞争性磋商文件规定的要求提供资格证明文件的；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）无法定代表人签字或签字人无法定代表人有效授权的；应加盖投标人公章而未盖章的；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）投标有效期不足的；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）投标报价不合理明显低于成本的；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）重要技术指标和参数不满足竞争性磋商要求的；</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）未对竞争性磋商文件实质性要求和条件做出响应的；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）有损害招标人和用户利益的规定的；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11</w:t>
      </w:r>
      <w:r>
        <w:rPr>
          <w:rFonts w:hint="eastAsia"/>
          <w:color w:val="000000" w:themeColor="text1"/>
          <w:sz w:val="24"/>
          <w14:textFill>
            <w14:solidFill>
              <w14:schemeClr w14:val="tx1"/>
            </w14:solidFill>
          </w14:textFill>
        </w:rPr>
        <w:t>）不同投标人的投标文件由同一单位或者个人编制；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12</w:t>
      </w:r>
      <w:r>
        <w:rPr>
          <w:rFonts w:hint="eastAsia"/>
          <w:color w:val="000000" w:themeColor="text1"/>
          <w:sz w:val="24"/>
          <w14:textFill>
            <w14:solidFill>
              <w14:schemeClr w14:val="tx1"/>
            </w14:solidFill>
          </w14:textFill>
        </w:rPr>
        <w:t>）不同投标人委托同一单位或者个人办理投标事宜；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）不同投标人的投标文件载明的项目管理成员或者联系人员为同一人；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14</w:t>
      </w:r>
      <w:r>
        <w:rPr>
          <w:rFonts w:hint="eastAsia"/>
          <w:color w:val="000000" w:themeColor="text1"/>
          <w:sz w:val="24"/>
          <w14:textFill>
            <w14:solidFill>
              <w14:schemeClr w14:val="tx1"/>
            </w14:solidFill>
          </w14:textFill>
        </w:rPr>
        <w:t>）不同投标人的投标文件异常一致或者投标报价呈规律性差异；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）不同投标人的投标文件相互混装；</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16</w:t>
      </w:r>
      <w:r>
        <w:rPr>
          <w:rFonts w:hint="eastAsia"/>
          <w:color w:val="000000" w:themeColor="text1"/>
          <w:sz w:val="24"/>
          <w14:textFill>
            <w14:solidFill>
              <w14:schemeClr w14:val="tx1"/>
            </w14:solidFill>
          </w14:textFill>
        </w:rPr>
        <w:t>）不同投标人的投标保证金从同一单位或者个人的账户转出。</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4.6. </w:t>
      </w:r>
      <w:r>
        <w:rPr>
          <w:rFonts w:hint="eastAsia"/>
          <w:color w:val="000000" w:themeColor="text1"/>
          <w:sz w:val="24"/>
          <w14:textFill>
            <w14:solidFill>
              <w14:schemeClr w14:val="tx1"/>
            </w14:solidFill>
          </w14:textFill>
        </w:rPr>
        <w:t>竞争性磋商小组认为有必要时，将要求投标人述标或对投标文件中某些内容做出澄清或说明，但不接受投标人主动提出的澄清和说明。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4.7. </w:t>
      </w:r>
      <w:r>
        <w:rPr>
          <w:rFonts w:hint="eastAsia"/>
          <w:color w:val="000000" w:themeColor="text1"/>
          <w:sz w:val="24"/>
          <w14:textFill>
            <w14:solidFill>
              <w14:schemeClr w14:val="tx1"/>
            </w14:solidFill>
          </w14:textFill>
        </w:rPr>
        <w:t>竞争性磋商小组将从投标人的投标报价、产品质量、技术方案、售后服务、企业状况等经济、技术和商务及其他优惠条件等方面，依据评判标准，对所有投标文件进行综合评分。</w:t>
      </w:r>
    </w:p>
    <w:p>
      <w:pPr>
        <w:spacing w:line="360" w:lineRule="auto"/>
        <w:rPr>
          <w:rFonts w:ascii="宋体"/>
          <w:b/>
          <w:color w:val="000000" w:themeColor="text1"/>
          <w:sz w:val="24"/>
          <w14:textFill>
            <w14:solidFill>
              <w14:schemeClr w14:val="tx1"/>
            </w14:solidFill>
          </w14:textFill>
        </w:rPr>
      </w:pPr>
    </w:p>
    <w:p>
      <w:pPr>
        <w:pStyle w:val="3"/>
        <w:rPr>
          <w:color w:val="000000" w:themeColor="text1"/>
          <w14:textFill>
            <w14:solidFill>
              <w14:schemeClr w14:val="tx1"/>
            </w14:solidFill>
          </w14:textFill>
        </w:rPr>
      </w:pPr>
      <w:bookmarkStart w:id="10" w:name="_Toc43367683"/>
      <w:r>
        <w:rPr>
          <w:rFonts w:hint="eastAsia"/>
          <w:color w:val="000000" w:themeColor="text1"/>
          <w14:textFill>
            <w14:solidFill>
              <w14:schemeClr w14:val="tx1"/>
            </w14:solidFill>
          </w14:textFill>
        </w:rPr>
        <w:t>五、竞争性磋商方法及评判标准</w:t>
      </w:r>
      <w:bookmarkEnd w:id="10"/>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竞争性磋商方法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）本次竞争性磋商采用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评判，即在投标文件满足竞争性磋商文件全部实质性要求，且按照评审因素的量化指标评审得分最高的投标人为排名第一的中标候选人。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）磋商小组各成员独立对每一份有效投标文件进行评价并对除报价以外的评分项目进行评分，磋商报价得分由工作人员通过计算得出。</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投标人得分</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∑评委评价得分</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评委人数</w:t>
      </w:r>
      <w:r>
        <w:rPr>
          <w:b/>
          <w:color w:val="000000" w:themeColor="text1"/>
          <w:sz w:val="24"/>
          <w14:textFill>
            <w14:solidFill>
              <w14:schemeClr w14:val="tx1"/>
            </w14:solidFill>
          </w14:textFill>
        </w:rPr>
        <w:t xml:space="preserve"> + </w:t>
      </w:r>
      <w:r>
        <w:rPr>
          <w:rFonts w:hint="eastAsia"/>
          <w:b/>
          <w:color w:val="000000" w:themeColor="text1"/>
          <w:sz w:val="24"/>
          <w14:textFill>
            <w14:solidFill>
              <w14:schemeClr w14:val="tx1"/>
            </w14:solidFill>
          </w14:textFill>
        </w:rPr>
        <w:t>磋商报价得分</w:t>
      </w:r>
    </w:p>
    <w:p>
      <w:pPr>
        <w:spacing w:line="353" w:lineRule="auto"/>
        <w:ind w:firstLine="482" w:firstLineChars="200"/>
        <w:rPr>
          <w:rFonts w:ascii="宋体"/>
          <w:bCs/>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r>
        <w:rPr>
          <w:b/>
          <w:color w:val="000000" w:themeColor="text1"/>
          <w:sz w:val="24"/>
          <w14:textFill>
            <w14:solidFill>
              <w14:schemeClr w14:val="tx1"/>
            </w14:solidFill>
          </w14:textFill>
        </w:rPr>
        <w:t xml:space="preserve">5.2. </w:t>
      </w:r>
      <w:r>
        <w:rPr>
          <w:rFonts w:hint="eastAsia" w:ascii="宋体" w:hAnsi="宋体"/>
          <w:bCs/>
          <w:color w:val="000000" w:themeColor="text1"/>
          <w:sz w:val="24"/>
          <w14:textFill>
            <w14:solidFill>
              <w14:schemeClr w14:val="tx1"/>
            </w14:solidFill>
          </w14:textFill>
        </w:rPr>
        <w:t>评判标准</w:t>
      </w:r>
    </w:p>
    <w:tbl>
      <w:tblPr>
        <w:tblStyle w:val="17"/>
        <w:tblW w:w="8787" w:type="dxa"/>
        <w:tblInd w:w="0" w:type="dxa"/>
        <w:tblLayout w:type="fixed"/>
        <w:tblCellMar>
          <w:top w:w="0" w:type="dxa"/>
          <w:left w:w="0" w:type="dxa"/>
          <w:bottom w:w="0" w:type="dxa"/>
          <w:right w:w="0" w:type="dxa"/>
        </w:tblCellMar>
      </w:tblPr>
      <w:tblGrid>
        <w:gridCol w:w="990"/>
        <w:gridCol w:w="1080"/>
        <w:gridCol w:w="1657"/>
        <w:gridCol w:w="5060"/>
      </w:tblGrid>
      <w:tr>
        <w:tblPrEx>
          <w:tblCellMar>
            <w:top w:w="0" w:type="dxa"/>
            <w:left w:w="0" w:type="dxa"/>
            <w:bottom w:w="0" w:type="dxa"/>
            <w:right w:w="0" w:type="dxa"/>
          </w:tblCellMar>
        </w:tblPrEx>
        <w:trPr>
          <w:trHeight w:val="495" w:hRule="atLeast"/>
        </w:trPr>
        <w:tc>
          <w:tcPr>
            <w:tcW w:w="990"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b/>
                <w:color w:val="000000"/>
                <w:sz w:val="24"/>
              </w:rPr>
              <w:t>评审因素</w:t>
            </w:r>
          </w:p>
        </w:tc>
        <w:tc>
          <w:tcPr>
            <w:tcW w:w="10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b/>
                <w:color w:val="000000"/>
                <w:sz w:val="24"/>
              </w:rPr>
              <w:t>分值</w:t>
            </w:r>
          </w:p>
        </w:tc>
        <w:tc>
          <w:tcPr>
            <w:tcW w:w="6717" w:type="dxa"/>
            <w:gridSpan w:val="2"/>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ind w:firstLine="2168" w:firstLineChars="900"/>
              <w:rPr>
                <w:rFonts w:ascii="宋体" w:hAnsi="宋体" w:cs="宋体"/>
                <w:color w:val="333333"/>
                <w:sz w:val="24"/>
              </w:rPr>
            </w:pPr>
            <w:r>
              <w:rPr>
                <w:rFonts w:hint="eastAsia" w:ascii="宋体" w:hAnsi="宋体" w:cs="宋体"/>
                <w:b/>
                <w:color w:val="000000"/>
                <w:sz w:val="24"/>
              </w:rPr>
              <w:t>评    分   细   则</w:t>
            </w:r>
          </w:p>
        </w:tc>
      </w:tr>
      <w:tr>
        <w:tblPrEx>
          <w:tblCellMar>
            <w:top w:w="0" w:type="dxa"/>
            <w:left w:w="0" w:type="dxa"/>
            <w:bottom w:w="0" w:type="dxa"/>
            <w:right w:w="0" w:type="dxa"/>
          </w:tblCellMar>
        </w:tblPrEx>
        <w:trPr>
          <w:trHeight w:val="1185" w:hRule="atLeast"/>
        </w:trPr>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sz w:val="24"/>
              </w:rPr>
              <w:t>报价</w:t>
            </w:r>
          </w:p>
        </w:tc>
        <w:tc>
          <w:tcPr>
            <w:tcW w:w="1080" w:type="dxa"/>
            <w:tcBorders>
              <w:top w:val="nil"/>
              <w:left w:val="nil"/>
              <w:bottom w:val="single" w:color="000000" w:sz="6" w:space="0"/>
              <w:right w:val="single" w:color="000000" w:sz="6" w:space="0"/>
            </w:tcBorders>
            <w:shd w:val="clear" w:color="auto" w:fill="auto"/>
            <w:tcMar>
              <w:left w:w="105" w:type="dxa"/>
              <w:right w:w="105" w:type="dxa"/>
            </w:tcMar>
            <w:vAlign w:val="center"/>
          </w:tcPr>
          <w:p>
            <w:pPr>
              <w:ind w:firstLine="240" w:firstLineChars="100"/>
              <w:rPr>
                <w:rFonts w:ascii="宋体" w:hAnsi="宋体" w:cs="宋体"/>
                <w:color w:val="333333"/>
                <w:sz w:val="24"/>
              </w:rPr>
            </w:pPr>
            <w:r>
              <w:rPr>
                <w:rFonts w:hint="eastAsia" w:ascii="宋体" w:hAnsi="宋体" w:cs="宋体"/>
                <w:color w:val="000000"/>
                <w:sz w:val="24"/>
              </w:rPr>
              <w:t>60</w:t>
            </w:r>
          </w:p>
        </w:tc>
        <w:tc>
          <w:tcPr>
            <w:tcW w:w="671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ind w:firstLine="480" w:firstLineChars="200"/>
              <w:rPr>
                <w:rFonts w:ascii="宋体" w:hAnsi="宋体" w:cs="宋体"/>
                <w:color w:val="333333"/>
                <w:sz w:val="24"/>
              </w:rPr>
            </w:pPr>
            <w:r>
              <w:rPr>
                <w:rFonts w:hint="eastAsia" w:ascii="宋体" w:hAnsi="宋体" w:cs="宋体"/>
                <w:color w:val="000000"/>
                <w:sz w:val="24"/>
              </w:rPr>
              <w:t>满足招标文件要求且最后报价最低的投标人的价格为基准价，其价格分为满分。其他投标人的价格分按下列公式计算：报价得分＝（基准价/投标报价）×60</w:t>
            </w:r>
            <w:r>
              <w:rPr>
                <w:rFonts w:hint="eastAsia" w:ascii="宋体" w:hAnsi="宋体" w:cs="宋体"/>
                <w:color w:val="000000"/>
                <w:kern w:val="0"/>
                <w:sz w:val="24"/>
              </w:rPr>
              <w:t>。</w:t>
            </w:r>
          </w:p>
        </w:tc>
      </w:tr>
      <w:tr>
        <w:tblPrEx>
          <w:tblCellMar>
            <w:top w:w="0" w:type="dxa"/>
            <w:left w:w="0" w:type="dxa"/>
            <w:bottom w:w="0" w:type="dxa"/>
            <w:right w:w="0" w:type="dxa"/>
          </w:tblCellMar>
        </w:tblPrEx>
        <w:trPr>
          <w:trHeight w:val="931" w:hRule="atLeast"/>
        </w:trPr>
        <w:tc>
          <w:tcPr>
            <w:tcW w:w="99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000000"/>
                <w:sz w:val="24"/>
              </w:rPr>
            </w:pPr>
            <w:r>
              <w:rPr>
                <w:rFonts w:hint="eastAsia" w:ascii="宋体" w:hAnsi="宋体" w:cs="宋体"/>
                <w:color w:val="000000"/>
                <w:sz w:val="24"/>
              </w:rPr>
              <w:t>技术</w:t>
            </w:r>
          </w:p>
          <w:p>
            <w:pPr>
              <w:jc w:val="center"/>
              <w:rPr>
                <w:rFonts w:ascii="宋体" w:hAnsi="宋体" w:cs="宋体"/>
                <w:color w:val="333333"/>
                <w:sz w:val="24"/>
              </w:rPr>
            </w:pPr>
          </w:p>
        </w:tc>
        <w:tc>
          <w:tcPr>
            <w:tcW w:w="1080"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kern w:val="0"/>
                <w:sz w:val="24"/>
              </w:rPr>
              <w:t>承诺</w:t>
            </w:r>
          </w:p>
        </w:tc>
        <w:tc>
          <w:tcPr>
            <w:tcW w:w="5060" w:type="dxa"/>
            <w:tcBorders>
              <w:top w:val="nil"/>
              <w:left w:val="nil"/>
              <w:bottom w:val="single" w:color="000000" w:sz="6" w:space="0"/>
              <w:right w:val="single" w:color="000000" w:sz="6" w:space="0"/>
            </w:tcBorders>
            <w:shd w:val="clear" w:color="auto" w:fill="auto"/>
            <w:tcMar>
              <w:left w:w="105" w:type="dxa"/>
              <w:right w:w="105" w:type="dxa"/>
            </w:tcMar>
            <w:vAlign w:val="center"/>
          </w:tcPr>
          <w:p>
            <w:pPr>
              <w:ind w:firstLine="480" w:firstLineChars="200"/>
              <w:jc w:val="left"/>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w:t>
            </w:r>
            <w:r>
              <w:rPr>
                <w:rFonts w:hint="eastAsia" w:ascii="宋体" w:hAnsi="宋体" w:cs="宋体"/>
                <w:color w:val="000000"/>
                <w:sz w:val="24"/>
              </w:rPr>
              <w:t>有承诺含保修期延长，每一年加一分，最高3分；</w:t>
            </w:r>
          </w:p>
          <w:p>
            <w:pPr>
              <w:ind w:firstLine="480" w:firstLineChars="200"/>
              <w:jc w:val="left"/>
              <w:rPr>
                <w:rFonts w:ascii="宋体" w:hAnsi="宋体" w:cs="宋体"/>
                <w:color w:val="00000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售后服务网点完善，人员配备充足，承诺响应时间合理充分得2分；</w:t>
            </w:r>
          </w:p>
          <w:p>
            <w:pPr>
              <w:ind w:firstLine="480" w:firstLineChars="200"/>
              <w:jc w:val="left"/>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维修零配件价格在中标价基础上优惠9</w:t>
            </w:r>
            <w:r>
              <w:rPr>
                <w:rFonts w:ascii="宋体" w:hAnsi="宋体" w:cs="宋体"/>
                <w:color w:val="000000"/>
                <w:sz w:val="24"/>
              </w:rPr>
              <w:t>0</w:t>
            </w:r>
            <w:r>
              <w:rPr>
                <w:rFonts w:hint="eastAsia" w:ascii="宋体" w:hAnsi="宋体" w:cs="宋体"/>
                <w:color w:val="000000"/>
                <w:sz w:val="24"/>
              </w:rPr>
              <w:t>%得1分，8</w:t>
            </w:r>
            <w:r>
              <w:rPr>
                <w:rFonts w:ascii="宋体" w:hAnsi="宋体" w:cs="宋体"/>
                <w:color w:val="000000"/>
                <w:sz w:val="24"/>
              </w:rPr>
              <w:t>5</w:t>
            </w:r>
            <w:r>
              <w:rPr>
                <w:rFonts w:hint="eastAsia" w:ascii="宋体" w:hAnsi="宋体" w:cs="宋体"/>
                <w:color w:val="000000"/>
                <w:sz w:val="24"/>
              </w:rPr>
              <w:t>%得2分，8</w:t>
            </w:r>
            <w:r>
              <w:rPr>
                <w:rFonts w:ascii="宋体" w:hAnsi="宋体" w:cs="宋体"/>
                <w:color w:val="000000"/>
                <w:sz w:val="24"/>
              </w:rPr>
              <w:t>0</w:t>
            </w:r>
            <w:r>
              <w:rPr>
                <w:rFonts w:hint="eastAsia" w:ascii="宋体" w:hAnsi="宋体" w:cs="宋体"/>
                <w:color w:val="000000"/>
                <w:sz w:val="24"/>
              </w:rPr>
              <w:t>%得3分；</w:t>
            </w:r>
          </w:p>
          <w:p>
            <w:pPr>
              <w:ind w:firstLine="480" w:firstLineChars="200"/>
              <w:jc w:val="left"/>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w:t>
            </w:r>
            <w:r>
              <w:rPr>
                <w:rFonts w:hint="eastAsia" w:ascii="宋体" w:hAnsi="宋体" w:cs="宋体"/>
                <w:color w:val="000000"/>
                <w:sz w:val="24"/>
              </w:rPr>
              <w:t>有产品安全承诺并承诺相应责任的得2分</w:t>
            </w:r>
          </w:p>
        </w:tc>
      </w:tr>
      <w:tr>
        <w:tblPrEx>
          <w:tblCellMar>
            <w:top w:w="0" w:type="dxa"/>
            <w:left w:w="0" w:type="dxa"/>
            <w:bottom w:w="0" w:type="dxa"/>
            <w:right w:w="0" w:type="dxa"/>
          </w:tblCellMar>
        </w:tblPrEx>
        <w:trPr>
          <w:trHeight w:val="1383" w:hRule="atLeast"/>
        </w:trPr>
        <w:tc>
          <w:tcPr>
            <w:tcW w:w="9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p>
        </w:tc>
        <w:tc>
          <w:tcPr>
            <w:tcW w:w="1080"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ascii="宋体" w:hAnsi="宋体" w:cs="宋体"/>
                <w:color w:val="000000"/>
                <w:sz w:val="24"/>
              </w:rPr>
              <w:t>10</w:t>
            </w:r>
          </w:p>
        </w:tc>
        <w:tc>
          <w:tcPr>
            <w:tcW w:w="1657"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sz w:val="24"/>
              </w:rPr>
              <w:t>业绩</w:t>
            </w:r>
          </w:p>
        </w:tc>
        <w:tc>
          <w:tcPr>
            <w:tcW w:w="5060" w:type="dxa"/>
            <w:tcBorders>
              <w:top w:val="nil"/>
              <w:left w:val="nil"/>
              <w:bottom w:val="single" w:color="000000" w:sz="6" w:space="0"/>
              <w:right w:val="single" w:color="000000" w:sz="6" w:space="0"/>
            </w:tcBorders>
            <w:shd w:val="clear" w:color="auto" w:fill="auto"/>
            <w:tcMar>
              <w:left w:w="105" w:type="dxa"/>
              <w:right w:w="105" w:type="dxa"/>
            </w:tcMar>
            <w:vAlign w:val="center"/>
          </w:tcPr>
          <w:p>
            <w:pPr>
              <w:ind w:firstLine="480" w:firstLineChars="200"/>
              <w:jc w:val="left"/>
            </w:pPr>
            <w:r>
              <w:rPr>
                <w:rFonts w:hint="eastAsia" w:ascii="宋体" w:hAnsi="宋体" w:cs="宋体"/>
                <w:color w:val="000000"/>
                <w:sz w:val="24"/>
              </w:rPr>
              <w:t>根据投标人2</w:t>
            </w:r>
            <w:r>
              <w:rPr>
                <w:rFonts w:ascii="宋体" w:hAnsi="宋体" w:cs="宋体"/>
                <w:color w:val="000000"/>
                <w:sz w:val="24"/>
              </w:rPr>
              <w:t>016</w:t>
            </w:r>
            <w:r>
              <w:rPr>
                <w:rFonts w:hint="eastAsia" w:ascii="宋体" w:hAnsi="宋体" w:cs="宋体"/>
                <w:color w:val="000000"/>
                <w:sz w:val="24"/>
              </w:rPr>
              <w:t>年以来与本次投标项目相似的同类业绩情况评分（以提供的合同复印件为准，合同中不得隐去任何内容，否则无效，每份</w:t>
            </w:r>
            <w:r>
              <w:rPr>
                <w:rFonts w:ascii="宋体" w:hAnsi="宋体" w:cs="宋体"/>
                <w:color w:val="000000"/>
                <w:sz w:val="24"/>
              </w:rPr>
              <w:t>2</w:t>
            </w:r>
            <w:r>
              <w:rPr>
                <w:rFonts w:hint="eastAsia" w:ascii="宋体" w:hAnsi="宋体" w:cs="宋体"/>
                <w:color w:val="000000"/>
                <w:sz w:val="24"/>
              </w:rPr>
              <w:t>分；同一单位的多份合同仅算一份业绩，得</w:t>
            </w:r>
            <w:r>
              <w:rPr>
                <w:rFonts w:ascii="宋体" w:hAnsi="宋体" w:cs="宋体"/>
                <w:color w:val="000000"/>
                <w:sz w:val="24"/>
              </w:rPr>
              <w:t>2</w:t>
            </w:r>
            <w:r>
              <w:rPr>
                <w:rFonts w:hint="eastAsia" w:ascii="宋体" w:hAnsi="宋体" w:cs="宋体"/>
                <w:color w:val="000000"/>
                <w:sz w:val="24"/>
              </w:rPr>
              <w:t>分；最多得</w:t>
            </w:r>
            <w:r>
              <w:rPr>
                <w:rFonts w:ascii="宋体" w:hAnsi="宋体" w:cs="宋体"/>
                <w:color w:val="000000"/>
                <w:sz w:val="24"/>
              </w:rPr>
              <w:t>10</w:t>
            </w:r>
            <w:r>
              <w:rPr>
                <w:rFonts w:hint="eastAsia" w:ascii="宋体" w:hAnsi="宋体" w:cs="宋体"/>
                <w:color w:val="000000"/>
                <w:sz w:val="24"/>
              </w:rPr>
              <w:t>分）。</w:t>
            </w:r>
          </w:p>
        </w:tc>
      </w:tr>
      <w:tr>
        <w:tblPrEx>
          <w:tblCellMar>
            <w:top w:w="0" w:type="dxa"/>
            <w:left w:w="0" w:type="dxa"/>
            <w:bottom w:w="0" w:type="dxa"/>
            <w:right w:w="0" w:type="dxa"/>
          </w:tblCellMar>
        </w:tblPrEx>
        <w:trPr>
          <w:trHeight w:val="1350" w:hRule="atLeast"/>
        </w:trPr>
        <w:tc>
          <w:tcPr>
            <w:tcW w:w="99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p>
        </w:tc>
        <w:tc>
          <w:tcPr>
            <w:tcW w:w="1080"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sz w:val="24"/>
              </w:rPr>
              <w:t>20</w:t>
            </w:r>
          </w:p>
        </w:tc>
        <w:tc>
          <w:tcPr>
            <w:tcW w:w="1657"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sz w:val="24"/>
              </w:rPr>
              <w:t>样品</w:t>
            </w:r>
          </w:p>
        </w:tc>
        <w:tc>
          <w:tcPr>
            <w:tcW w:w="5060" w:type="dxa"/>
            <w:tcBorders>
              <w:top w:val="nil"/>
              <w:left w:val="nil"/>
              <w:bottom w:val="single" w:color="000000" w:sz="6" w:space="0"/>
              <w:right w:val="single" w:color="000000" w:sz="6" w:space="0"/>
            </w:tcBorders>
            <w:shd w:val="clear" w:color="auto" w:fill="auto"/>
            <w:tcMar>
              <w:left w:w="105" w:type="dxa"/>
              <w:right w:w="105" w:type="dxa"/>
            </w:tcMar>
            <w:vAlign w:val="center"/>
          </w:tcPr>
          <w:p>
            <w:pPr>
              <w:ind w:left="720" w:hanging="720" w:hangingChars="300"/>
              <w:jc w:val="left"/>
              <w:rPr>
                <w:rFonts w:ascii="宋体" w:hAnsi="宋体" w:cs="宋体"/>
                <w:color w:val="000000"/>
                <w:sz w:val="24"/>
              </w:rPr>
            </w:pPr>
            <w:r>
              <w:rPr>
                <w:rFonts w:hint="eastAsia" w:ascii="宋体" w:hAnsi="宋体" w:cs="宋体"/>
                <w:color w:val="000000"/>
                <w:sz w:val="24"/>
              </w:rPr>
              <w:t>其中：①材质</w:t>
            </w:r>
            <w:r>
              <w:rPr>
                <w:rFonts w:ascii="宋体" w:hAnsi="宋体" w:cs="宋体"/>
                <w:color w:val="000000"/>
                <w:sz w:val="24"/>
              </w:rPr>
              <w:t>9</w:t>
            </w:r>
            <w:r>
              <w:rPr>
                <w:rFonts w:hint="eastAsia" w:ascii="宋体" w:hAnsi="宋体" w:cs="宋体"/>
                <w:color w:val="000000"/>
                <w:sz w:val="24"/>
              </w:rPr>
              <w:t>分，根据材料强度、韧度、抗腐蚀度评判，材质采用3</w:t>
            </w:r>
            <w:r>
              <w:rPr>
                <w:rFonts w:ascii="宋体" w:hAnsi="宋体" w:cs="宋体"/>
                <w:color w:val="000000"/>
                <w:sz w:val="24"/>
              </w:rPr>
              <w:t>16L</w:t>
            </w:r>
            <w:r>
              <w:rPr>
                <w:rFonts w:hint="eastAsia" w:ascii="宋体" w:hAnsi="宋体" w:cs="宋体"/>
                <w:color w:val="000000"/>
                <w:sz w:val="24"/>
              </w:rPr>
              <w:t>的8-</w:t>
            </w:r>
            <w:r>
              <w:rPr>
                <w:rFonts w:ascii="宋体" w:hAnsi="宋体" w:cs="宋体"/>
                <w:color w:val="000000"/>
                <w:sz w:val="24"/>
              </w:rPr>
              <w:t>9</w:t>
            </w:r>
            <w:r>
              <w:rPr>
                <w:rFonts w:hint="eastAsia" w:ascii="宋体" w:hAnsi="宋体" w:cs="宋体"/>
                <w:color w:val="000000"/>
                <w:sz w:val="24"/>
              </w:rPr>
              <w:t>分，采用3</w:t>
            </w:r>
            <w:r>
              <w:rPr>
                <w:rFonts w:ascii="宋体" w:hAnsi="宋体" w:cs="宋体"/>
                <w:color w:val="000000"/>
                <w:sz w:val="24"/>
              </w:rPr>
              <w:t>16</w:t>
            </w:r>
            <w:r>
              <w:rPr>
                <w:rFonts w:hint="eastAsia" w:ascii="宋体" w:hAnsi="宋体" w:cs="宋体"/>
                <w:color w:val="000000"/>
                <w:sz w:val="24"/>
              </w:rPr>
              <w:t>的得7</w:t>
            </w:r>
            <w:r>
              <w:rPr>
                <w:rFonts w:ascii="宋体" w:hAnsi="宋体" w:cs="宋体"/>
                <w:color w:val="000000"/>
                <w:sz w:val="24"/>
              </w:rPr>
              <w:t>-8</w:t>
            </w:r>
            <w:r>
              <w:rPr>
                <w:rFonts w:hint="eastAsia" w:ascii="宋体" w:hAnsi="宋体" w:cs="宋体"/>
                <w:color w:val="000000"/>
                <w:sz w:val="24"/>
              </w:rPr>
              <w:t>分，采用3</w:t>
            </w:r>
            <w:r>
              <w:rPr>
                <w:rFonts w:ascii="宋体" w:hAnsi="宋体" w:cs="宋体"/>
                <w:color w:val="000000"/>
                <w:sz w:val="24"/>
              </w:rPr>
              <w:t>04L</w:t>
            </w:r>
            <w:r>
              <w:rPr>
                <w:rFonts w:hint="eastAsia" w:ascii="宋体" w:hAnsi="宋体" w:cs="宋体"/>
                <w:color w:val="000000"/>
                <w:sz w:val="24"/>
              </w:rPr>
              <w:t>的得6</w:t>
            </w:r>
            <w:r>
              <w:rPr>
                <w:rFonts w:ascii="宋体" w:hAnsi="宋体" w:cs="宋体"/>
                <w:color w:val="000000"/>
                <w:sz w:val="24"/>
              </w:rPr>
              <w:t>-7</w:t>
            </w:r>
            <w:r>
              <w:rPr>
                <w:rFonts w:hint="eastAsia" w:ascii="宋体" w:hAnsi="宋体" w:cs="宋体"/>
                <w:color w:val="000000"/>
                <w:sz w:val="24"/>
              </w:rPr>
              <w:t>分，采用3</w:t>
            </w:r>
            <w:r>
              <w:rPr>
                <w:rFonts w:ascii="宋体" w:hAnsi="宋体" w:cs="宋体"/>
                <w:color w:val="000000"/>
                <w:sz w:val="24"/>
              </w:rPr>
              <w:t>04</w:t>
            </w:r>
            <w:r>
              <w:rPr>
                <w:rFonts w:hint="eastAsia" w:ascii="宋体" w:hAnsi="宋体" w:cs="宋体"/>
                <w:color w:val="000000"/>
                <w:sz w:val="24"/>
              </w:rPr>
              <w:t>的得6分及以下；</w:t>
            </w:r>
          </w:p>
          <w:p>
            <w:pPr>
              <w:ind w:left="630" w:leftChars="300" w:firstLine="240" w:firstLineChars="100"/>
              <w:jc w:val="left"/>
              <w:rPr>
                <w:rFonts w:ascii="宋体" w:hAnsi="宋体" w:cs="宋体"/>
                <w:color w:val="000000"/>
                <w:sz w:val="24"/>
              </w:rPr>
            </w:pPr>
            <w:r>
              <w:rPr>
                <w:rFonts w:hint="eastAsia" w:ascii="宋体" w:hAnsi="宋体" w:cs="宋体"/>
                <w:color w:val="000000"/>
                <w:sz w:val="24"/>
              </w:rPr>
              <w:t>材质需提供检测报告，否则不予给分。</w:t>
            </w:r>
          </w:p>
          <w:p>
            <w:pPr>
              <w:ind w:left="720" w:hanging="720" w:hangingChars="300"/>
              <w:jc w:val="left"/>
              <w:rPr>
                <w:rFonts w:ascii="宋体" w:hAnsi="宋体" w:cs="宋体"/>
                <w:color w:val="000000"/>
                <w:sz w:val="24"/>
              </w:rPr>
            </w:pPr>
            <w:r>
              <w:rPr>
                <w:rFonts w:hint="eastAsia" w:ascii="宋体" w:hAnsi="宋体" w:cs="宋体"/>
                <w:color w:val="000000"/>
                <w:sz w:val="24"/>
              </w:rPr>
              <w:t>②箱体及门施工工艺4分，采取钝化防割伤处理质量优秀4分，良好2分至3分，合格1分；</w:t>
            </w:r>
          </w:p>
          <w:p>
            <w:pPr>
              <w:ind w:left="720" w:hanging="720" w:hangingChars="300"/>
              <w:jc w:val="left"/>
              <w:rPr>
                <w:rFonts w:ascii="宋体" w:hAnsi="宋体" w:cs="宋体"/>
                <w:color w:val="000000"/>
                <w:sz w:val="24"/>
              </w:rPr>
            </w:pPr>
            <w:r>
              <w:rPr>
                <w:rFonts w:hint="eastAsia" w:ascii="宋体" w:hAnsi="宋体" w:cs="宋体"/>
                <w:color w:val="000000"/>
                <w:sz w:val="24"/>
              </w:rPr>
              <w:t>③品牌</w:t>
            </w:r>
            <w:r>
              <w:rPr>
                <w:rFonts w:ascii="宋体" w:hAnsi="宋体" w:cs="宋体"/>
                <w:color w:val="000000"/>
                <w:sz w:val="24"/>
              </w:rPr>
              <w:t>7</w:t>
            </w:r>
            <w:r>
              <w:rPr>
                <w:rFonts w:hint="eastAsia" w:ascii="宋体" w:hAnsi="宋体" w:cs="宋体"/>
                <w:color w:val="000000"/>
                <w:sz w:val="24"/>
              </w:rPr>
              <w:t>分，参考行业协会评选知名度、授技证书横向对比，优秀</w:t>
            </w:r>
            <w:r>
              <w:rPr>
                <w:rFonts w:ascii="宋体" w:hAnsi="宋体" w:cs="宋体"/>
                <w:color w:val="000000"/>
                <w:sz w:val="24"/>
              </w:rPr>
              <w:t>6</w:t>
            </w:r>
            <w:r>
              <w:rPr>
                <w:rFonts w:hint="eastAsia" w:ascii="宋体" w:hAnsi="宋体" w:cs="宋体"/>
                <w:color w:val="000000"/>
                <w:sz w:val="24"/>
              </w:rPr>
              <w:t>至</w:t>
            </w:r>
            <w:r>
              <w:rPr>
                <w:rFonts w:ascii="宋体" w:hAnsi="宋体" w:cs="宋体"/>
                <w:color w:val="000000"/>
                <w:sz w:val="24"/>
              </w:rPr>
              <w:t>7</w:t>
            </w:r>
            <w:r>
              <w:rPr>
                <w:rFonts w:hint="eastAsia" w:ascii="宋体" w:hAnsi="宋体" w:cs="宋体"/>
                <w:color w:val="000000"/>
                <w:sz w:val="24"/>
              </w:rPr>
              <w:t>分，良好4至</w:t>
            </w:r>
            <w:r>
              <w:rPr>
                <w:rFonts w:ascii="宋体" w:hAnsi="宋体" w:cs="宋体"/>
                <w:color w:val="000000"/>
                <w:sz w:val="24"/>
              </w:rPr>
              <w:t>5</w:t>
            </w:r>
            <w:r>
              <w:rPr>
                <w:rFonts w:hint="eastAsia" w:ascii="宋体" w:hAnsi="宋体" w:cs="宋体"/>
                <w:color w:val="000000"/>
                <w:sz w:val="24"/>
              </w:rPr>
              <w:t>分，合格1至3分；</w:t>
            </w:r>
          </w:p>
        </w:tc>
      </w:tr>
      <w:tr>
        <w:tblPrEx>
          <w:tblCellMar>
            <w:top w:w="0" w:type="dxa"/>
            <w:left w:w="0" w:type="dxa"/>
            <w:bottom w:w="0" w:type="dxa"/>
            <w:right w:w="0" w:type="dxa"/>
          </w:tblCellMar>
        </w:tblPrEx>
        <w:trPr>
          <w:trHeight w:val="762" w:hRule="atLeast"/>
        </w:trPr>
        <w:tc>
          <w:tcPr>
            <w:tcW w:w="99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color w:val="000000"/>
                <w:sz w:val="24"/>
              </w:rPr>
              <w:t>合计</w:t>
            </w:r>
          </w:p>
        </w:tc>
        <w:tc>
          <w:tcPr>
            <w:tcW w:w="1080" w:type="dxa"/>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ascii="宋体" w:hAnsi="宋体" w:cs="宋体"/>
                <w:color w:val="333333"/>
                <w:sz w:val="24"/>
              </w:rPr>
            </w:pPr>
            <w:r>
              <w:rPr>
                <w:rFonts w:hint="eastAsia" w:ascii="宋体" w:hAnsi="宋体" w:cs="宋体"/>
                <w:b/>
                <w:color w:val="000000"/>
                <w:sz w:val="24"/>
              </w:rPr>
              <w:t>100</w:t>
            </w:r>
          </w:p>
        </w:tc>
        <w:tc>
          <w:tcPr>
            <w:tcW w:w="6717"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tabs>
                <w:tab w:val="left" w:pos="945"/>
              </w:tabs>
              <w:ind w:firstLine="480" w:firstLineChars="200"/>
              <w:rPr>
                <w:rFonts w:ascii="宋体" w:hAnsi="宋体" w:cs="宋体"/>
                <w:color w:val="333333"/>
                <w:sz w:val="24"/>
              </w:rPr>
            </w:pPr>
            <w:r>
              <w:rPr>
                <w:rFonts w:hint="eastAsia" w:ascii="宋体" w:hAnsi="宋体" w:cs="宋体"/>
                <w:color w:val="000000"/>
                <w:sz w:val="24"/>
              </w:rPr>
              <w:t>投标人最后得分保留两位小数</w:t>
            </w:r>
          </w:p>
        </w:tc>
      </w:tr>
    </w:tbl>
    <w:p>
      <w:pPr>
        <w:spacing w:line="353" w:lineRule="auto"/>
        <w:rPr>
          <w:b/>
          <w:color w:val="000000" w:themeColor="text1"/>
          <w:sz w:val="24"/>
          <w14:textFill>
            <w14:solidFill>
              <w14:schemeClr w14:val="tx1"/>
            </w14:solidFill>
          </w14:textFill>
        </w:rPr>
      </w:pPr>
    </w:p>
    <w:p>
      <w:pPr>
        <w:spacing w:line="353" w:lineRule="auto"/>
        <w:ind w:firstLine="480" w:firstLineChars="200"/>
        <w:rPr>
          <w:rFonts w:ascii="宋体"/>
          <w:bCs/>
          <w:sz w:val="24"/>
        </w:rPr>
      </w:pPr>
      <w:bookmarkStart w:id="11" w:name="_Toc43367684"/>
      <w:r>
        <w:rPr>
          <w:rFonts w:hint="eastAsia" w:ascii="宋体"/>
          <w:bCs/>
          <w:sz w:val="24"/>
        </w:rPr>
        <w:t>说明：以上所有证书、检测报告、合同等复印件需盖投标人公章，原件备查。</w:t>
      </w:r>
    </w:p>
    <w:p>
      <w:pPr>
        <w:pStyle w:val="3"/>
        <w:rPr>
          <w:rFonts w:ascii="宋体"/>
          <w:b w:val="0"/>
          <w:color w:val="000000" w:themeColor="text1"/>
          <w:sz w:val="24"/>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定标</w:t>
      </w:r>
      <w:bookmarkEnd w:id="11"/>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竞争性磋商小组</w:t>
      </w:r>
      <w:r>
        <w:rPr>
          <w:rFonts w:hint="eastAsia" w:ascii="宋体"/>
          <w:color w:val="000000" w:themeColor="text1"/>
          <w:sz w:val="24"/>
          <w:lang w:val="zh-CN"/>
          <w14:textFill>
            <w14:solidFill>
              <w14:schemeClr w14:val="tx1"/>
            </w14:solidFill>
          </w14:textFill>
        </w:rPr>
        <w:t>按照</w:t>
      </w:r>
      <w:r>
        <w:rPr>
          <w:rFonts w:hint="eastAsia"/>
          <w:color w:val="000000" w:themeColor="text1"/>
          <w:sz w:val="24"/>
          <w14:textFill>
            <w14:solidFill>
              <w14:schemeClr w14:val="tx1"/>
            </w14:solidFill>
          </w14:textFill>
        </w:rPr>
        <w:t>综合评分结果</w:t>
      </w:r>
      <w:r>
        <w:rPr>
          <w:rFonts w:hint="eastAsia" w:ascii="宋体"/>
          <w:color w:val="000000" w:themeColor="text1"/>
          <w:sz w:val="24"/>
          <w:lang w:val="zh-CN"/>
          <w14:textFill>
            <w14:solidFill>
              <w14:schemeClr w14:val="tx1"/>
            </w14:solidFill>
          </w14:textFill>
        </w:rPr>
        <w:t>对投标人进行排序。</w:t>
      </w:r>
      <w:r>
        <w:rPr>
          <w:rFonts w:hint="eastAsia"/>
          <w:color w:val="000000" w:themeColor="text1"/>
          <w:sz w:val="24"/>
          <w14:textFill>
            <w14:solidFill>
              <w14:schemeClr w14:val="tx1"/>
            </w14:solidFill>
          </w14:textFill>
        </w:rPr>
        <w:t>排序相同的，按最后磋商价格由低到高顺序排列。排名第一的投标人将被推荐为中标候选人或者直接被确定为中标人。</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6.2. </w:t>
      </w:r>
      <w:r>
        <w:rPr>
          <w:rFonts w:hint="eastAsia" w:ascii="宋体" w:hAnsi="宋体" w:cs="Arial"/>
          <w:color w:val="000000" w:themeColor="text1"/>
          <w:sz w:val="24"/>
          <w14:textFill>
            <w14:solidFill>
              <w14:schemeClr w14:val="tx1"/>
            </w14:solidFill>
          </w14:textFill>
        </w:rPr>
        <w:t>出现下列情形之一的，采购人有权决定本次竞争性磋商作废标处理：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发生影响竞争性磋商公平、公正的违法、违规行为的；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投标人的最后磋商报价均超过了采购预算，学校不能支付的；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对未中标的投标人，采购人不做未中标解释。</w:t>
      </w:r>
    </w:p>
    <w:p>
      <w:pPr>
        <w:pStyle w:val="3"/>
        <w:rPr>
          <w:color w:val="000000" w:themeColor="text1"/>
          <w14:textFill>
            <w14:solidFill>
              <w14:schemeClr w14:val="tx1"/>
            </w14:solidFill>
          </w14:textFill>
        </w:rPr>
      </w:pPr>
      <w:bookmarkStart w:id="12" w:name="_Toc43367685"/>
      <w:r>
        <w:rPr>
          <w:rFonts w:hint="eastAsia"/>
          <w:color w:val="000000" w:themeColor="text1"/>
          <w14:textFill>
            <w14:solidFill>
              <w14:schemeClr w14:val="tx1"/>
            </w14:solidFill>
          </w14:textFill>
        </w:rPr>
        <w:t>七、合同的签订</w:t>
      </w:r>
      <w:bookmarkEnd w:id="12"/>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中标人确定后，采购人将通过学校招标网公示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天，公示期满无异议，中标人应在30日内与采购人签订采购合同，过期视为放弃中标。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7.2. </w:t>
      </w:r>
      <w:r>
        <w:rPr>
          <w:rFonts w:hint="eastAsia" w:ascii="宋体" w:hAnsi="宋体" w:cs="宋体"/>
          <w:color w:val="000000" w:themeColor="text1"/>
          <w:kern w:val="0"/>
          <w:sz w:val="24"/>
          <w14:textFill>
            <w14:solidFill>
              <w14:schemeClr w14:val="tx1"/>
            </w14:solidFill>
          </w14:textFill>
        </w:rPr>
        <w:t>本竞争性磋商文件和中标人的投标文件包括中标人所做出的各种书面承诺将作为采购人与中标人双方签订合同的依据，并作为合同的附件与合同具有同等法律效力。</w:t>
      </w:r>
    </w:p>
    <w:p>
      <w:pPr>
        <w:spacing w:line="360" w:lineRule="auto"/>
        <w:ind w:firstLine="482" w:firstLineChars="200"/>
        <w:rPr>
          <w:rFonts w:eastAsia="黑体"/>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7.3. </w:t>
      </w:r>
      <w:r>
        <w:rPr>
          <w:rFonts w:hint="eastAsia"/>
          <w:color w:val="000000" w:themeColor="text1"/>
          <w:sz w:val="24"/>
          <w14:textFill>
            <w14:solidFill>
              <w14:schemeClr w14:val="tx1"/>
            </w14:solidFill>
          </w14:textFill>
        </w:rPr>
        <w:t>如投标人中标后悔标，采购人将取消该投标人本次中标资格及今后两年内的投标资格。</w:t>
      </w:r>
    </w:p>
    <w:p>
      <w:pPr>
        <w:pStyle w:val="3"/>
        <w:rPr>
          <w:rFonts w:ascii="宋体"/>
          <w:b w:val="0"/>
          <w:color w:val="000000" w:themeColor="text1"/>
          <w:sz w:val="24"/>
          <w14:textFill>
            <w14:solidFill>
              <w14:schemeClr w14:val="tx1"/>
            </w14:solidFill>
          </w14:textFill>
        </w:rPr>
      </w:pPr>
      <w:bookmarkStart w:id="13" w:name="_Toc43367686"/>
      <w:r>
        <w:rPr>
          <w:rFonts w:hint="eastAsia" w:ascii="宋体" w:hAnsi="宋体"/>
          <w:color w:val="000000" w:themeColor="text1"/>
          <w:sz w:val="24"/>
          <w14:textFill>
            <w14:solidFill>
              <w14:schemeClr w14:val="tx1"/>
            </w14:solidFill>
          </w14:textFill>
        </w:rPr>
        <w:t>八、其他</w:t>
      </w:r>
      <w:bookmarkEnd w:id="13"/>
    </w:p>
    <w:p>
      <w:pPr>
        <w:spacing w:line="360" w:lineRule="auto"/>
        <w:ind w:firstLine="482" w:firstLineChars="200"/>
        <w:rPr>
          <w:rFonts w:ascii="宋体"/>
          <w:b/>
          <w:color w:val="000000" w:themeColor="text1"/>
          <w:spacing w:val="4"/>
          <w:sz w:val="44"/>
          <w:szCs w:val="44"/>
          <w14:textFill>
            <w14:solidFill>
              <w14:schemeClr w14:val="tx1"/>
            </w14:solidFill>
          </w14:textFill>
        </w:rPr>
      </w:pPr>
      <w:r>
        <w:rPr>
          <w:rFonts w:ascii="黑体" w:eastAsia="黑体"/>
          <w:b/>
          <w:color w:val="000000" w:themeColor="text1"/>
          <w:sz w:val="24"/>
          <w14:textFill>
            <w14:solidFill>
              <w14:schemeClr w14:val="tx1"/>
            </w14:solidFill>
          </w14:textFill>
        </w:rPr>
        <w:t xml:space="preserve">8.1. </w:t>
      </w:r>
      <w:r>
        <w:rPr>
          <w:rFonts w:hint="eastAsia" w:ascii="黑体" w:eastAsia="黑体"/>
          <w:b/>
          <w:color w:val="000000" w:themeColor="text1"/>
          <w:sz w:val="24"/>
          <w14:textFill>
            <w14:solidFill>
              <w14:schemeClr w14:val="tx1"/>
            </w14:solidFill>
          </w14:textFill>
        </w:rPr>
        <w:t>投标人无论中标与否，采购人不承担投标人参加投标的任何费用。</w:t>
      </w:r>
    </w:p>
    <w:p>
      <w:pPr>
        <w:pStyle w:val="2"/>
        <w:jc w:val="center"/>
        <w:rPr>
          <w:color w:val="000000" w:themeColor="text1"/>
          <w14:textFill>
            <w14:solidFill>
              <w14:schemeClr w14:val="tx1"/>
            </w14:solidFill>
          </w14:textFill>
        </w:rPr>
      </w:pPr>
      <w:r>
        <w:rPr>
          <w:rFonts w:ascii="宋体"/>
          <w:color w:val="000000" w:themeColor="text1"/>
          <w:spacing w:val="4"/>
          <w14:textFill>
            <w14:solidFill>
              <w14:schemeClr w14:val="tx1"/>
            </w14:solidFill>
          </w14:textFill>
        </w:rPr>
        <w:br w:type="page"/>
      </w:r>
      <w:bookmarkStart w:id="14" w:name="_Toc43367687"/>
      <w:r>
        <w:rPr>
          <w:rFonts w:hint="eastAsia"/>
          <w:color w:val="000000" w:themeColor="text1"/>
          <w14:textFill>
            <w14:solidFill>
              <w14:schemeClr w14:val="tx1"/>
            </w14:solidFill>
          </w14:textFill>
        </w:rPr>
        <w:t>第三部分</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采购货物要求及相关说明</w:t>
      </w:r>
      <w:bookmarkEnd w:id="14"/>
    </w:p>
    <w:p>
      <w:pPr>
        <w:pStyle w:val="3"/>
        <w:rPr>
          <w:color w:val="000000" w:themeColor="text1"/>
          <w14:textFill>
            <w14:solidFill>
              <w14:schemeClr w14:val="tx1"/>
            </w14:solidFill>
          </w14:textFill>
        </w:rPr>
      </w:pPr>
      <w:bookmarkStart w:id="15" w:name="_Toc43367688"/>
      <w:r>
        <w:rPr>
          <w:rFonts w:hint="eastAsia"/>
          <w:color w:val="000000" w:themeColor="text1"/>
          <w14:textFill>
            <w14:solidFill>
              <w14:schemeClr w14:val="tx1"/>
            </w14:solidFill>
          </w14:textFill>
        </w:rPr>
        <w:t>货物需求一览表</w:t>
      </w:r>
      <w:bookmarkEnd w:id="15"/>
    </w:p>
    <w:tbl>
      <w:tblPr>
        <w:tblStyle w:val="17"/>
        <w:tblW w:w="6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96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64" w:type="dxa"/>
            <w:vAlign w:val="center"/>
          </w:tcPr>
          <w:p>
            <w:pPr>
              <w:spacing w:line="288" w:lineRule="auto"/>
              <w:jc w:val="center"/>
              <w:rPr>
                <w:rFonts w:ascii="宋体"/>
                <w:b/>
                <w:sz w:val="24"/>
              </w:rPr>
            </w:pPr>
            <w:r>
              <w:rPr>
                <w:rFonts w:hint="eastAsia" w:ascii="宋体" w:hAnsi="宋体"/>
                <w:b/>
                <w:sz w:val="24"/>
              </w:rPr>
              <w:t>序号</w:t>
            </w:r>
          </w:p>
        </w:tc>
        <w:tc>
          <w:tcPr>
            <w:tcW w:w="3966" w:type="dxa"/>
            <w:vAlign w:val="center"/>
          </w:tcPr>
          <w:p>
            <w:pPr>
              <w:spacing w:line="288" w:lineRule="auto"/>
              <w:jc w:val="center"/>
              <w:rPr>
                <w:rFonts w:ascii="宋体"/>
                <w:b/>
                <w:sz w:val="24"/>
              </w:rPr>
            </w:pPr>
            <w:r>
              <w:rPr>
                <w:rFonts w:hint="eastAsia" w:ascii="宋体" w:hAnsi="宋体"/>
                <w:b/>
                <w:sz w:val="24"/>
              </w:rPr>
              <w:t>设备名称</w:t>
            </w:r>
          </w:p>
        </w:tc>
        <w:tc>
          <w:tcPr>
            <w:tcW w:w="1195" w:type="dxa"/>
            <w:vAlign w:val="center"/>
          </w:tcPr>
          <w:p>
            <w:pPr>
              <w:spacing w:line="288" w:lineRule="auto"/>
              <w:jc w:val="center"/>
              <w:rPr>
                <w:rFonts w:ascii="宋体"/>
                <w:b/>
                <w:sz w:val="24"/>
              </w:rPr>
            </w:pPr>
            <w:r>
              <w:rPr>
                <w:rFonts w:hint="eastAsia"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4" w:type="dxa"/>
            <w:vAlign w:val="center"/>
          </w:tcPr>
          <w:p>
            <w:pPr>
              <w:spacing w:line="288" w:lineRule="auto"/>
              <w:jc w:val="center"/>
              <w:rPr>
                <w:rFonts w:ascii="宋体"/>
                <w:b/>
                <w:sz w:val="24"/>
              </w:rPr>
            </w:pPr>
            <w:r>
              <w:rPr>
                <w:rFonts w:ascii="宋体" w:hAnsi="宋体"/>
                <w:b/>
                <w:sz w:val="24"/>
              </w:rPr>
              <w:t>01</w:t>
            </w:r>
          </w:p>
        </w:tc>
        <w:tc>
          <w:tcPr>
            <w:tcW w:w="3966" w:type="dxa"/>
            <w:vAlign w:val="center"/>
          </w:tcPr>
          <w:p>
            <w:pPr>
              <w:widowControl/>
              <w:spacing w:line="288" w:lineRule="auto"/>
              <w:jc w:val="center"/>
              <w:rPr>
                <w:rFonts w:ascii="宋体"/>
                <w:b/>
                <w:sz w:val="24"/>
              </w:rPr>
            </w:pPr>
            <w:r>
              <w:rPr>
                <w:rFonts w:hint="eastAsia" w:ascii="宋体" w:hAnsi="宋体"/>
                <w:b/>
                <w:sz w:val="24"/>
              </w:rPr>
              <w:t>不锈钢衣柜</w:t>
            </w:r>
          </w:p>
        </w:tc>
        <w:tc>
          <w:tcPr>
            <w:tcW w:w="1195" w:type="dxa"/>
            <w:vAlign w:val="center"/>
          </w:tcPr>
          <w:p>
            <w:pPr>
              <w:widowControl/>
              <w:spacing w:line="288" w:lineRule="auto"/>
              <w:jc w:val="center"/>
              <w:rPr>
                <w:rFonts w:ascii="宋体"/>
                <w:b/>
                <w:sz w:val="24"/>
              </w:rPr>
            </w:pPr>
            <w:r>
              <w:rPr>
                <w:rFonts w:ascii="宋体" w:hAnsi="宋体"/>
                <w:b/>
                <w:sz w:val="24"/>
              </w:rPr>
              <w:t>16</w:t>
            </w:r>
            <w:r>
              <w:rPr>
                <w:rFonts w:hint="eastAsia" w:ascii="宋体" w:hAnsi="宋体"/>
                <w:b/>
                <w:sz w:val="24"/>
              </w:rPr>
              <w:t>张</w:t>
            </w:r>
          </w:p>
        </w:tc>
      </w:tr>
    </w:tbl>
    <w:p>
      <w:pPr>
        <w:widowControl/>
        <w:ind w:firstLine="402" w:firstLineChars="200"/>
        <w:jc w:val="left"/>
        <w:rPr>
          <w:rFonts w:ascii="宋体" w:hAnsi="宋体" w:cs="宋体"/>
          <w:b/>
          <w:kern w:val="0"/>
          <w:sz w:val="20"/>
          <w:szCs w:val="20"/>
        </w:rPr>
      </w:pP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配置及技术要求</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注：本次询价需送样，投标时请携带一块带拉手、锁具、标签槽、透气孔的标准大小门板。</w:t>
      </w:r>
    </w:p>
    <w:p>
      <w:pPr>
        <w:widowControl/>
        <w:numPr>
          <w:ilvl w:val="0"/>
          <w:numId w:val="2"/>
        </w:numPr>
        <w:spacing w:line="300" w:lineRule="exact"/>
        <w:ind w:firstLine="480" w:firstLineChars="200"/>
        <w:jc w:val="left"/>
        <w:rPr>
          <w:rFonts w:ascii="宋体" w:hAnsi="宋体" w:cs="宋体"/>
          <w:kern w:val="0"/>
          <w:sz w:val="24"/>
        </w:rPr>
      </w:pPr>
      <w:r>
        <w:rPr>
          <w:rFonts w:hint="eastAsia" w:ascii="宋体" w:hAnsi="宋体" w:cs="宋体"/>
          <w:kern w:val="0"/>
          <w:sz w:val="24"/>
        </w:rPr>
        <w:t>浴室用不锈钢衣柜，材质：柜体全304或3</w:t>
      </w:r>
      <w:r>
        <w:rPr>
          <w:rFonts w:ascii="宋体" w:hAnsi="宋体" w:cs="宋体"/>
          <w:kern w:val="0"/>
          <w:sz w:val="24"/>
        </w:rPr>
        <w:t>16</w:t>
      </w:r>
      <w:r>
        <w:rPr>
          <w:rFonts w:hint="eastAsia" w:ascii="宋体" w:hAnsi="宋体" w:cs="宋体"/>
          <w:kern w:val="0"/>
          <w:sz w:val="24"/>
        </w:rPr>
        <w:t>不锈钢，板材厚度：国标1.2</w:t>
      </w:r>
      <w:r>
        <w:rPr>
          <w:rFonts w:ascii="宋体" w:hAnsi="宋体" w:cs="宋体"/>
          <w:kern w:val="0"/>
          <w:sz w:val="24"/>
        </w:rPr>
        <w:t>0</w:t>
      </w:r>
      <w:r>
        <w:rPr>
          <w:rFonts w:hint="eastAsia" w:ascii="宋体" w:hAnsi="宋体" w:cs="宋体"/>
          <w:kern w:val="0"/>
          <w:sz w:val="24"/>
        </w:rPr>
        <w:t>mm（误差</w:t>
      </w:r>
      <w:r>
        <w:rPr>
          <w:rFonts w:ascii="宋体" w:hAnsi="宋体" w:cs="宋体"/>
          <w:kern w:val="0"/>
          <w:sz w:val="24"/>
        </w:rPr>
        <w:t>±0.10mm</w:t>
      </w:r>
      <w:r>
        <w:rPr>
          <w:rFonts w:hint="eastAsia" w:ascii="宋体" w:hAnsi="宋体" w:cs="宋体"/>
          <w:kern w:val="0"/>
          <w:sz w:val="24"/>
        </w:rPr>
        <w:t>），尺寸：1.9m*1.2m*0.5m，纵向4斗，横向3斗，配优质内嵌式拉手、柜体专用锁具、一体成型标签槽、透气孔。</w:t>
      </w:r>
    </w:p>
    <w:p>
      <w:pPr>
        <w:widowControl/>
        <w:numPr>
          <w:ilvl w:val="0"/>
          <w:numId w:val="2"/>
        </w:numPr>
        <w:spacing w:line="300" w:lineRule="exact"/>
        <w:ind w:firstLine="480" w:firstLineChars="200"/>
        <w:jc w:val="left"/>
        <w:rPr>
          <w:rFonts w:ascii="宋体" w:hAnsi="宋体" w:cs="宋体"/>
          <w:kern w:val="0"/>
          <w:sz w:val="24"/>
        </w:rPr>
      </w:pPr>
      <w:r>
        <w:rPr>
          <w:rFonts w:hint="eastAsia" w:ascii="宋体" w:hAnsi="宋体" w:cs="宋体"/>
          <w:kern w:val="0"/>
          <w:sz w:val="24"/>
        </w:rPr>
        <w:t>衣柜和门均需经过钝化防割伤处理</w:t>
      </w:r>
      <w:r>
        <w:rPr>
          <w:rFonts w:hint="eastAsia" w:ascii="宋体" w:hAnsi="宋体" w:cs="宋体"/>
          <w:kern w:val="0"/>
          <w:sz w:val="20"/>
          <w:szCs w:val="20"/>
        </w:rPr>
        <w:t>。</w:t>
      </w:r>
    </w:p>
    <w:p>
      <w:pPr>
        <w:widowControl/>
        <w:spacing w:line="360" w:lineRule="auto"/>
        <w:ind w:firstLine="420" w:firstLineChars="200"/>
        <w:jc w:val="left"/>
        <w:rPr>
          <w:rFonts w:ascii="宋体" w:hAnsi="宋体" w:cs="宋体"/>
          <w:kern w:val="0"/>
          <w:sz w:val="20"/>
          <w:szCs w:val="20"/>
        </w:rPr>
      </w:pPr>
      <w:r>
        <w:drawing>
          <wp:inline distT="0" distB="0" distL="114300" distR="114300">
            <wp:extent cx="1892300" cy="3665855"/>
            <wp:effectExtent l="0" t="0" r="12700" b="1079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92300" cy="3665855"/>
                    </a:xfrm>
                    <a:prstGeom prst="rect">
                      <a:avLst/>
                    </a:prstGeom>
                    <a:noFill/>
                    <a:ln>
                      <a:noFill/>
                    </a:ln>
                  </pic:spPr>
                </pic:pic>
              </a:graphicData>
            </a:graphic>
          </wp:inline>
        </w:drawing>
      </w:r>
    </w:p>
    <w:p>
      <w:pPr>
        <w:pStyle w:val="2"/>
        <w:jc w:val="cente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bookmarkStart w:id="16" w:name="_Toc43367689"/>
      <w:r>
        <w:rPr>
          <w:rFonts w:hint="eastAsia"/>
          <w:color w:val="000000" w:themeColor="text1"/>
          <w14:textFill>
            <w14:solidFill>
              <w14:schemeClr w14:val="tx1"/>
            </w14:solidFill>
          </w14:textFill>
        </w:rPr>
        <w:t>第四部分</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合同主要条款</w:t>
      </w:r>
      <w:bookmarkEnd w:id="16"/>
    </w:p>
    <w:p>
      <w:pPr>
        <w:spacing w:line="400" w:lineRule="exact"/>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、交货期</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020</w:t>
      </w:r>
      <w:r>
        <w:rPr>
          <w:rFonts w:hint="eastAsia"/>
          <w:color w:val="000000" w:themeColor="text1"/>
          <w:sz w:val="24"/>
          <w14:textFill>
            <w14:solidFill>
              <w14:schemeClr w14:val="tx1"/>
            </w14:solidFill>
          </w14:textFill>
        </w:rPr>
        <w:t>年8月1</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日</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、交货地点</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南通大学启东校区</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、付款方式</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（1）国（境）内供货：用户收到货物并验收合格后，凭卖方开具的增值税专用发票</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个工作日内支付合同总金额的</w:t>
      </w:r>
      <w:r>
        <w:rPr>
          <w:color w:val="000000" w:themeColor="text1"/>
          <w:sz w:val="24"/>
          <w14:textFill>
            <w14:solidFill>
              <w14:schemeClr w14:val="tx1"/>
            </w14:solidFill>
          </w14:textFill>
        </w:rPr>
        <w:t>95</w:t>
      </w:r>
      <w:r>
        <w:rPr>
          <w:rFonts w:hint="eastAsia"/>
          <w:color w:val="000000" w:themeColor="text1"/>
          <w:sz w:val="24"/>
          <w14:textFill>
            <w14:solidFill>
              <w14:schemeClr w14:val="tx1"/>
            </w14:solidFill>
          </w14:textFill>
        </w:rPr>
        <w:t>％，另</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％作为质保金，待质保期满后根据质保和售后服务情况支付。</w:t>
      </w:r>
    </w:p>
    <w:p>
      <w:pPr>
        <w:spacing w:line="400" w:lineRule="exact"/>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（2）国（境）外供货：以外贸信用证（</w:t>
      </w:r>
      <w:r>
        <w:rPr>
          <w:color w:val="000000" w:themeColor="text1"/>
          <w:sz w:val="24"/>
          <w14:textFill>
            <w14:solidFill>
              <w14:schemeClr w14:val="tx1"/>
            </w14:solidFill>
          </w14:textFill>
        </w:rPr>
        <w:t>L/C</w:t>
      </w:r>
      <w:r>
        <w:rPr>
          <w:rFonts w:hint="eastAsia"/>
          <w:color w:val="000000" w:themeColor="text1"/>
          <w:sz w:val="24"/>
          <w14:textFill>
            <w14:solidFill>
              <w14:schemeClr w14:val="tx1"/>
            </w14:solidFill>
          </w14:textFill>
        </w:rPr>
        <w:t>）方式结算。</w:t>
      </w:r>
      <w:r>
        <w:rPr>
          <w:color w:val="000000" w:themeColor="text1"/>
          <w:sz w:val="24"/>
          <w14:textFill>
            <w14:solidFill>
              <w14:schemeClr w14:val="tx1"/>
            </w14:solidFill>
          </w14:textFill>
        </w:rPr>
        <w:t>100%</w:t>
      </w:r>
      <w:r>
        <w:rPr>
          <w:rFonts w:hint="eastAsia"/>
          <w:color w:val="000000" w:themeColor="text1"/>
          <w:sz w:val="24"/>
          <w14:textFill>
            <w14:solidFill>
              <w14:schemeClr w14:val="tx1"/>
            </w14:solidFill>
          </w14:textFill>
        </w:rPr>
        <w:t>信用证，其中的</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见单付，余款凭加盖南通大学国有资产管理处公章的最终用户签字的验收报告支付。</w:t>
      </w:r>
    </w:p>
    <w:p>
      <w:pPr>
        <w:spacing w:line="40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、保修期及售后服务</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）验收合格后整机免费保修</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壹</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年，保修期自愿延长不限；</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）保修期内，因货物质量问题导致的各种故障的技术服务及维修所产生的一切费用由卖方负责承担；</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）卖方应针对货物的特点对买方有关人员在货物的性能、原理、操作要领、维修和保养等各个方面进行免费现场培训。必要时，卖方还应向买方提供免费培训名额至少</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个，参加卖方举办的专门培训；</w:t>
      </w:r>
    </w:p>
    <w:p>
      <w:pPr>
        <w:spacing w:line="400" w:lineRule="exact"/>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）售后服务承诺书中承诺的其他条款。</w:t>
      </w:r>
    </w:p>
    <w:p>
      <w:pPr>
        <w:spacing w:line="400" w:lineRule="exact"/>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5</w:t>
      </w:r>
      <w:r>
        <w:rPr>
          <w:rFonts w:hint="eastAsia"/>
          <w:b/>
          <w:color w:val="000000" w:themeColor="text1"/>
          <w:sz w:val="24"/>
          <w14:textFill>
            <w14:solidFill>
              <w14:schemeClr w14:val="tx1"/>
            </w14:solidFill>
          </w14:textFill>
        </w:rPr>
        <w:t>、安装、调试及验收要求</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）卖方应在买方的配合下，负责对货物的现场安装调试；</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）货物到达买方指定地点后，卖方应在收到买方通知后</w:t>
      </w:r>
      <w:r>
        <w:rPr>
          <w:rFonts w:ascii="宋体" w:hAnsi="宋体"/>
          <w:color w:val="000000" w:themeColor="text1"/>
          <w:sz w:val="24"/>
          <w14:textFill>
            <w14:solidFill>
              <w14:schemeClr w14:val="tx1"/>
            </w14:solidFill>
          </w14:textFill>
        </w:rPr>
        <w:t>48</w:t>
      </w:r>
      <w:r>
        <w:rPr>
          <w:rFonts w:hint="eastAsia" w:ascii="宋体" w:hAnsi="宋体"/>
          <w:color w:val="000000" w:themeColor="text1"/>
          <w:sz w:val="24"/>
          <w14:textFill>
            <w14:solidFill>
              <w14:schemeClr w14:val="tx1"/>
            </w14:solidFill>
          </w14:textFill>
        </w:rPr>
        <w:t>小时内</w:t>
      </w:r>
      <w:r>
        <w:rPr>
          <w:rFonts w:hint="eastAsia"/>
          <w:color w:val="000000" w:themeColor="text1"/>
          <w:sz w:val="24"/>
          <w14:textFill>
            <w14:solidFill>
              <w14:schemeClr w14:val="tx1"/>
            </w14:solidFill>
          </w14:textFill>
        </w:rPr>
        <w:t>派遣合格的技术人员前往买方完成货物的安装、调试工作；</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）验收测试所需要的材料、设备和测试样品等均由卖方负责提供；</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）卖方应在规定的期限内完成安装调试工作，如因卖方责任而造成安装调试的延期，因延期而产生的所有费用由卖方承担；</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）最终验收在买方使用现场进行，在货物达到验收标准，包括应满足中国安全标准和环境保护标准后，买卖双方共同签署验收合格报告；</w:t>
      </w:r>
    </w:p>
    <w:p>
      <w:pPr>
        <w:spacing w:line="400" w:lineRule="exact"/>
        <w:ind w:firstLine="480" w:firstLineChars="200"/>
        <w:rPr>
          <w:b/>
          <w:i/>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）卖方人员在买方安装调试期间所产生一切费用由卖方承担。</w:t>
      </w:r>
    </w:p>
    <w:p>
      <w:pPr>
        <w:pStyle w:val="2"/>
        <w:spacing w:line="400" w:lineRule="exact"/>
        <w:jc w:val="center"/>
        <w:rPr>
          <w:rFonts w:ascii="宋体"/>
          <w:b w:val="0"/>
          <w:color w:val="000000" w:themeColor="text1"/>
          <w:spacing w:val="4"/>
          <w14:textFill>
            <w14:solidFill>
              <w14:schemeClr w14:val="tx1"/>
            </w14:solidFill>
          </w14:textFill>
        </w:rPr>
      </w:pPr>
      <w:r>
        <w:rPr>
          <w:color w:val="000000" w:themeColor="text1"/>
          <w:sz w:val="24"/>
          <w14:textFill>
            <w14:solidFill>
              <w14:schemeClr w14:val="tx1"/>
            </w14:solidFill>
          </w14:textFill>
        </w:rPr>
        <w:br w:type="page"/>
      </w:r>
      <w:bookmarkStart w:id="17" w:name="_Toc43367690"/>
      <w:r>
        <w:rPr>
          <w:rFonts w:hint="eastAsia"/>
          <w:color w:val="000000" w:themeColor="text1"/>
          <w14:textFill>
            <w14:solidFill>
              <w14:schemeClr w14:val="tx1"/>
            </w14:solidFill>
          </w14:textFill>
        </w:rPr>
        <w:t>第五部分</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附</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件</w:t>
      </w:r>
      <w:bookmarkEnd w:id="17"/>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：投标报价总表</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：配置清单及分项报价表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4</w:t>
      </w:r>
      <w:r>
        <w:rPr>
          <w:rFonts w:hint="eastAsia" w:ascii="宋体" w:hAnsi="宋体"/>
          <w:color w:val="000000" w:themeColor="text1"/>
          <w:spacing w:val="4"/>
          <w:sz w:val="24"/>
          <w14:textFill>
            <w14:solidFill>
              <w14:schemeClr w14:val="tx1"/>
            </w14:solidFill>
          </w14:textFill>
        </w:rPr>
        <w:t>：技术规格响应</w:t>
      </w:r>
      <w:r>
        <w:rPr>
          <w:rFonts w:ascii="宋体" w:hAnsi="宋体"/>
          <w:color w:val="000000" w:themeColor="text1"/>
          <w:spacing w:val="4"/>
          <w:sz w:val="24"/>
          <w14:textFill>
            <w14:solidFill>
              <w14:schemeClr w14:val="tx1"/>
            </w14:solidFill>
          </w14:textFill>
        </w:rPr>
        <w:t>/</w:t>
      </w:r>
      <w:r>
        <w:rPr>
          <w:rFonts w:hint="eastAsia" w:ascii="宋体" w:hAnsi="宋体"/>
          <w:color w:val="000000" w:themeColor="text1"/>
          <w:spacing w:val="4"/>
          <w:sz w:val="24"/>
          <w14:textFill>
            <w14:solidFill>
              <w14:schemeClr w14:val="tx1"/>
            </w14:solidFill>
          </w14:textFill>
        </w:rPr>
        <w:t>偏</w:t>
      </w:r>
      <w:r>
        <w:rPr>
          <w:rFonts w:hint="eastAsia"/>
          <w:color w:val="000000" w:themeColor="text1"/>
          <w:sz w:val="24"/>
          <w14:textFill>
            <w14:solidFill>
              <w14:schemeClr w14:val="tx1"/>
            </w14:solidFill>
          </w14:textFill>
        </w:rPr>
        <w:t>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商务条款响应</w:t>
      </w:r>
      <w:r>
        <w:rPr>
          <w:rFonts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偏离表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6</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法定代表人资格证明</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法定代表人授权书</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附件8：报名投标确认函</w:t>
      </w:r>
    </w:p>
    <w:p>
      <w:pPr>
        <w:spacing w:line="360" w:lineRule="auto"/>
        <w:rPr>
          <w:rFonts w:ascii="宋体"/>
          <w:color w:val="000000" w:themeColor="text1"/>
          <w:spacing w:val="4"/>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pStyle w:val="3"/>
        <w:rPr>
          <w:rFonts w:ascii="宋体" w:hAnsi="宋体"/>
          <w:color w:val="000000" w:themeColor="text1"/>
          <w:sz w:val="21"/>
          <w:szCs w:val="21"/>
          <w14:textFill>
            <w14:solidFill>
              <w14:schemeClr w14:val="tx1"/>
            </w14:solidFill>
          </w14:textFill>
        </w:rPr>
      </w:pPr>
      <w:r>
        <w:rPr>
          <w:color w:val="000000" w:themeColor="text1"/>
          <w:sz w:val="24"/>
          <w14:textFill>
            <w14:solidFill>
              <w14:schemeClr w14:val="tx1"/>
            </w14:solidFill>
          </w14:textFill>
        </w:rPr>
        <w:br w:type="page"/>
      </w:r>
      <w:bookmarkStart w:id="18" w:name="_Toc43367691"/>
      <w:r>
        <w:rPr>
          <w:rFonts w:hint="eastAsia" w:ascii="宋体" w:hAnsi="宋体"/>
          <w:color w:val="000000" w:themeColor="text1"/>
          <w:sz w:val="21"/>
          <w:szCs w:val="21"/>
          <w14:textFill>
            <w14:solidFill>
              <w14:schemeClr w14:val="tx1"/>
            </w14:solidFill>
          </w14:textFill>
        </w:rPr>
        <w:t>附件</w:t>
      </w:r>
      <w:r>
        <w:rPr>
          <w:rFonts w:ascii="宋体" w:hAnsi="宋体"/>
          <w:color w:val="000000" w:themeColor="text1"/>
          <w:sz w:val="21"/>
          <w:szCs w:val="21"/>
          <w14:textFill>
            <w14:solidFill>
              <w14:schemeClr w14:val="tx1"/>
            </w14:solidFill>
          </w14:textFill>
        </w:rPr>
        <w:t>1</w:t>
      </w:r>
      <w:r>
        <w:rPr>
          <w:rFonts w:hint="eastAsia" w:ascii="宋体" w:hAnsi="宋体"/>
          <w:color w:val="000000" w:themeColor="text1"/>
          <w:sz w:val="21"/>
          <w:szCs w:val="21"/>
          <w14:textFill>
            <w14:solidFill>
              <w14:schemeClr w14:val="tx1"/>
            </w14:solidFill>
          </w14:textFill>
        </w:rPr>
        <w:t>：投标函</w:t>
      </w:r>
      <w:bookmarkEnd w:id="18"/>
    </w:p>
    <w:p>
      <w:pPr>
        <w:jc w:val="center"/>
        <w:rPr>
          <w:rFonts w:ascii="宋体"/>
          <w:color w:val="000000" w:themeColor="text1"/>
          <w14:textFill>
            <w14:solidFill>
              <w14:schemeClr w14:val="tx1"/>
            </w14:solidFill>
          </w14:textFill>
        </w:rPr>
      </w:pPr>
      <w:r>
        <w:rPr>
          <w:rFonts w:hint="eastAsia" w:ascii="宋体" w:hAnsi="宋体"/>
          <w:b/>
          <w:bCs/>
          <w:color w:val="000000" w:themeColor="text1"/>
          <w:sz w:val="44"/>
          <w14:textFill>
            <w14:solidFill>
              <w14:schemeClr w14:val="tx1"/>
            </w14:solidFill>
          </w14:textFill>
        </w:rPr>
        <w:t>投</w:t>
      </w:r>
      <w:r>
        <w:rPr>
          <w:rFonts w:ascii="宋体" w:hAnsi="宋体"/>
          <w:b/>
          <w:bCs/>
          <w:color w:val="000000" w:themeColor="text1"/>
          <w:sz w:val="44"/>
          <w14:textFill>
            <w14:solidFill>
              <w14:schemeClr w14:val="tx1"/>
            </w14:solidFill>
          </w14:textFill>
        </w:rPr>
        <w:t xml:space="preserve">    </w:t>
      </w:r>
      <w:r>
        <w:rPr>
          <w:rFonts w:hint="eastAsia" w:ascii="宋体" w:hAnsi="宋体"/>
          <w:b/>
          <w:bCs/>
          <w:color w:val="000000" w:themeColor="text1"/>
          <w:sz w:val="44"/>
          <w14:textFill>
            <w14:solidFill>
              <w14:schemeClr w14:val="tx1"/>
            </w14:solidFill>
          </w14:textFill>
        </w:rPr>
        <w:t>标</w:t>
      </w:r>
      <w:r>
        <w:rPr>
          <w:rFonts w:ascii="宋体" w:hAnsi="宋体"/>
          <w:b/>
          <w:bCs/>
          <w:color w:val="000000" w:themeColor="text1"/>
          <w:sz w:val="44"/>
          <w14:textFill>
            <w14:solidFill>
              <w14:schemeClr w14:val="tx1"/>
            </w14:solidFill>
          </w14:textFill>
        </w:rPr>
        <w:t xml:space="preserve">    </w:t>
      </w:r>
      <w:r>
        <w:rPr>
          <w:rFonts w:hint="eastAsia" w:ascii="宋体" w:hAnsi="宋体"/>
          <w:b/>
          <w:bCs/>
          <w:color w:val="000000" w:themeColor="text1"/>
          <w:sz w:val="44"/>
          <w14:textFill>
            <w14:solidFill>
              <w14:schemeClr w14:val="tx1"/>
            </w14:solidFill>
          </w14:textFill>
        </w:rPr>
        <w:t>函</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南通大学启东校区建设指挥部：</w:t>
      </w:r>
    </w:p>
    <w:p>
      <w:pPr>
        <w:spacing w:line="360" w:lineRule="auto"/>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项目竞争性磋商文件（项目编号</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），已完全了解竞争性磋商文件中的所有条款及要求，决定参加投标，同时做出如下承诺：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、我公司与本竞争性磋商项目及该项目相关人员之间均不存在可能影响竞争性磋商公正性的任何利害关系。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、愿按竞争性磋商文件的要求提供货物和服务，投标货物及服务的投标总价为：</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（小写）</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，（大写）</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、接受竞争性磋商文件的所有条款、条件和</w:t>
      </w:r>
      <w:r>
        <w:rPr>
          <w:rFonts w:hint="eastAsia" w:ascii="宋体" w:hAnsi="宋体"/>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放弃对竞争性磋商文件提出质疑的权利。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、同意按照竞争性磋商文件的要求提供所有资料、数据或信息。</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、我方如中标，将保证遵守竞争性磋商文件对投标人的所有要求和规定，履行自己在投标文件中承诺的全部责任和义务。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tbl>
      <w:tblPr>
        <w:tblStyle w:val="17"/>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投标人名称（公章）：</w:t>
            </w:r>
          </w:p>
        </w:tc>
        <w:tc>
          <w:tcPr>
            <w:tcW w:w="4678" w:type="dxa"/>
            <w:tcBorders>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授权代表（签名）：</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手</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机</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ascii="Adobe 黑体 Std R" w:hAnsi="Adobe 黑体 Std R" w:eastAsia="Adobe 黑体 Std R"/>
                <w:color w:val="000000" w:themeColor="text1"/>
                <w:sz w:val="24"/>
                <w14:textFill>
                  <w14:solidFill>
                    <w14:schemeClr w14:val="tx1"/>
                  </w14:solidFill>
                </w14:textFill>
              </w:rPr>
              <w:t>E  m  a  i  l</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址</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w:t>
            </w:r>
          </w:p>
        </w:tc>
        <w:tc>
          <w:tcPr>
            <w:tcW w:w="4678" w:type="dxa"/>
            <w:tcBorders>
              <w:top w:val="single" w:color="000000" w:sz="4" w:space="0"/>
              <w:bottom w:val="single" w:color="000000" w:sz="4" w:space="0"/>
            </w:tcBorders>
          </w:tcPr>
          <w:p>
            <w:pPr>
              <w:spacing w:line="480" w:lineRule="auto"/>
              <w:rPr>
                <w:color w:val="000000" w:themeColor="text1"/>
                <w:sz w:val="24"/>
                <w14:textFill>
                  <w14:solidFill>
                    <w14:schemeClr w14:val="tx1"/>
                  </w14:solidFill>
                </w14:textFill>
              </w:rPr>
            </w:pPr>
          </w:p>
        </w:tc>
      </w:tr>
    </w:tbl>
    <w:p>
      <w:pPr>
        <w:snapToGrid w:val="0"/>
        <w:spacing w:line="360" w:lineRule="auto"/>
        <w:ind w:left="-143" w:leftChars="-68" w:right="-351" w:rightChars="-167"/>
        <w:rPr>
          <w:rFonts w:ascii="宋体"/>
          <w:color w:val="000000" w:themeColor="text1"/>
          <w:spacing w:val="4"/>
          <w:sz w:val="24"/>
          <w14:textFill>
            <w14:solidFill>
              <w14:schemeClr w14:val="tx1"/>
            </w14:solidFill>
          </w14:textFill>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pStyle w:val="3"/>
        <w:rPr>
          <w:rFonts w:ascii="宋体" w:hAnsi="宋体"/>
          <w:b w:val="0"/>
          <w:color w:val="000000" w:themeColor="text1"/>
          <w:sz w:val="21"/>
          <w:szCs w:val="21"/>
          <w14:textFill>
            <w14:solidFill>
              <w14:schemeClr w14:val="tx1"/>
            </w14:solidFill>
          </w14:textFill>
        </w:rPr>
      </w:pPr>
      <w:bookmarkStart w:id="19" w:name="_Toc43367692"/>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2</w:t>
      </w:r>
      <w:r>
        <w:rPr>
          <w:rFonts w:hint="eastAsia" w:ascii="宋体" w:hAnsi="宋体"/>
          <w:b w:val="0"/>
          <w:color w:val="000000" w:themeColor="text1"/>
          <w:sz w:val="21"/>
          <w:szCs w:val="21"/>
          <w14:textFill>
            <w14:solidFill>
              <w14:schemeClr w14:val="tx1"/>
            </w14:solidFill>
          </w14:textFill>
        </w:rPr>
        <w:t>：投</w:t>
      </w:r>
      <w:r>
        <w:rPr>
          <w:rFonts w:ascii="宋体" w:hAnsi="宋体"/>
          <w:b w:val="0"/>
          <w:color w:val="000000" w:themeColor="text1"/>
          <w:sz w:val="21"/>
          <w:szCs w:val="21"/>
          <w14:textFill>
            <w14:solidFill>
              <w14:schemeClr w14:val="tx1"/>
            </w14:solidFill>
          </w14:textFill>
        </w:rPr>
        <w:t xml:space="preserve"> </w:t>
      </w:r>
      <w:r>
        <w:rPr>
          <w:rFonts w:hint="eastAsia" w:ascii="宋体" w:hAnsi="宋体"/>
          <w:b w:val="0"/>
          <w:color w:val="000000" w:themeColor="text1"/>
          <w:sz w:val="21"/>
          <w:szCs w:val="21"/>
          <w14:textFill>
            <w14:solidFill>
              <w14:schemeClr w14:val="tx1"/>
            </w14:solidFill>
          </w14:textFill>
        </w:rPr>
        <w:t>标</w:t>
      </w:r>
      <w:r>
        <w:rPr>
          <w:rFonts w:ascii="宋体" w:hAnsi="宋体"/>
          <w:b w:val="0"/>
          <w:color w:val="000000" w:themeColor="text1"/>
          <w:sz w:val="21"/>
          <w:szCs w:val="21"/>
          <w14:textFill>
            <w14:solidFill>
              <w14:schemeClr w14:val="tx1"/>
            </w14:solidFill>
          </w14:textFill>
        </w:rPr>
        <w:t xml:space="preserve"> </w:t>
      </w:r>
      <w:r>
        <w:rPr>
          <w:rFonts w:hint="eastAsia" w:ascii="宋体" w:hAnsi="宋体"/>
          <w:b w:val="0"/>
          <w:color w:val="000000" w:themeColor="text1"/>
          <w:sz w:val="21"/>
          <w:szCs w:val="21"/>
          <w14:textFill>
            <w14:solidFill>
              <w14:schemeClr w14:val="tx1"/>
            </w14:solidFill>
          </w14:textFill>
        </w:rPr>
        <w:t>报</w:t>
      </w:r>
      <w:r>
        <w:rPr>
          <w:rFonts w:ascii="宋体" w:hAnsi="宋体"/>
          <w:b w:val="0"/>
          <w:color w:val="000000" w:themeColor="text1"/>
          <w:sz w:val="21"/>
          <w:szCs w:val="21"/>
          <w14:textFill>
            <w14:solidFill>
              <w14:schemeClr w14:val="tx1"/>
            </w14:solidFill>
          </w14:textFill>
        </w:rPr>
        <w:t xml:space="preserve"> </w:t>
      </w:r>
      <w:r>
        <w:rPr>
          <w:rFonts w:hint="eastAsia" w:ascii="宋体" w:hAnsi="宋体"/>
          <w:b w:val="0"/>
          <w:color w:val="000000" w:themeColor="text1"/>
          <w:sz w:val="21"/>
          <w:szCs w:val="21"/>
          <w14:textFill>
            <w14:solidFill>
              <w14:schemeClr w14:val="tx1"/>
            </w14:solidFill>
          </w14:textFill>
        </w:rPr>
        <w:t>价</w:t>
      </w:r>
      <w:r>
        <w:rPr>
          <w:rFonts w:ascii="宋体" w:hAnsi="宋体"/>
          <w:b w:val="0"/>
          <w:color w:val="000000" w:themeColor="text1"/>
          <w:sz w:val="21"/>
          <w:szCs w:val="21"/>
          <w14:textFill>
            <w14:solidFill>
              <w14:schemeClr w14:val="tx1"/>
            </w14:solidFill>
          </w14:textFill>
        </w:rPr>
        <w:t xml:space="preserve"> </w:t>
      </w:r>
      <w:r>
        <w:rPr>
          <w:rFonts w:hint="eastAsia" w:ascii="宋体" w:hAnsi="宋体"/>
          <w:b w:val="0"/>
          <w:color w:val="000000" w:themeColor="text1"/>
          <w:sz w:val="21"/>
          <w:szCs w:val="21"/>
          <w14:textFill>
            <w14:solidFill>
              <w14:schemeClr w14:val="tx1"/>
            </w14:solidFill>
          </w14:textFill>
        </w:rPr>
        <w:t>总</w:t>
      </w:r>
      <w:r>
        <w:rPr>
          <w:rFonts w:ascii="宋体" w:hAnsi="宋体"/>
          <w:b w:val="0"/>
          <w:color w:val="000000" w:themeColor="text1"/>
          <w:sz w:val="21"/>
          <w:szCs w:val="21"/>
          <w14:textFill>
            <w14:solidFill>
              <w14:schemeClr w14:val="tx1"/>
            </w14:solidFill>
          </w14:textFill>
        </w:rPr>
        <w:t xml:space="preserve"> </w:t>
      </w:r>
      <w:r>
        <w:rPr>
          <w:rFonts w:hint="eastAsia" w:ascii="宋体" w:hAnsi="宋体"/>
          <w:b w:val="0"/>
          <w:color w:val="000000" w:themeColor="text1"/>
          <w:sz w:val="21"/>
          <w:szCs w:val="21"/>
          <w14:textFill>
            <w14:solidFill>
              <w14:schemeClr w14:val="tx1"/>
            </w14:solidFill>
          </w14:textFill>
        </w:rPr>
        <w:t>表</w:t>
      </w:r>
      <w:bookmarkEnd w:id="19"/>
    </w:p>
    <w:p>
      <w:pPr>
        <w:snapToGrid w:val="0"/>
        <w:spacing w:line="360" w:lineRule="auto"/>
        <w:ind w:right="-351" w:rightChars="-167"/>
        <w:rPr>
          <w:rFonts w:ascii="宋体"/>
          <w:b/>
          <w:color w:val="000000" w:themeColor="text1"/>
          <w:sz w:val="36"/>
          <w:szCs w:val="36"/>
          <w14:textFill>
            <w14:solidFill>
              <w14:schemeClr w14:val="tx1"/>
            </w14:solidFill>
          </w14:textFill>
        </w:rPr>
      </w:pPr>
    </w:p>
    <w:p>
      <w:pPr>
        <w:snapToGrid w:val="0"/>
        <w:spacing w:line="360" w:lineRule="auto"/>
        <w:ind w:right="-351" w:rightChars="-167" w:firstLine="5251" w:firstLineChars="1453"/>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投</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标</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报</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价</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总</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表</w:t>
      </w:r>
    </w:p>
    <w:tbl>
      <w:tblPr>
        <w:tblStyle w:val="1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222"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4"/>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262"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货物名称</w:t>
            </w:r>
          </w:p>
        </w:tc>
        <w:tc>
          <w:tcPr>
            <w:tcW w:w="237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35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w:t>
            </w:r>
          </w:p>
        </w:tc>
        <w:tc>
          <w:tcPr>
            <w:tcW w:w="683"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935"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保修期</w:t>
            </w:r>
          </w:p>
        </w:tc>
        <w:tc>
          <w:tcPr>
            <w:tcW w:w="130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262" w:type="dxa"/>
            <w:gridSpan w:val="3"/>
          </w:tcPr>
          <w:p>
            <w:pPr>
              <w:spacing w:line="360" w:lineRule="auto"/>
              <w:rPr>
                <w:rFonts w:ascii="宋体"/>
                <w:color w:val="000000" w:themeColor="text1"/>
                <w:sz w:val="24"/>
                <w14:textFill>
                  <w14:solidFill>
                    <w14:schemeClr w14:val="tx1"/>
                  </w14:solidFill>
                </w14:textFill>
              </w:rPr>
            </w:pPr>
          </w:p>
        </w:tc>
        <w:tc>
          <w:tcPr>
            <w:tcW w:w="2371"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935" w:type="dxa"/>
          </w:tcPr>
          <w:p>
            <w:pPr>
              <w:spacing w:line="360" w:lineRule="auto"/>
              <w:rPr>
                <w:rFonts w:ascii="宋体"/>
                <w:color w:val="000000" w:themeColor="text1"/>
                <w:sz w:val="24"/>
                <w14:textFill>
                  <w14:solidFill>
                    <w14:schemeClr w14:val="tx1"/>
                  </w14:solidFill>
                </w14:textFill>
              </w:rPr>
            </w:pPr>
          </w:p>
        </w:tc>
        <w:tc>
          <w:tcPr>
            <w:tcW w:w="1307"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3015"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gridSpan w:val="2"/>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rPr>
          <w:rFonts w:ascii="宋体"/>
          <w:color w:val="000000" w:themeColor="text1"/>
          <w:sz w:val="24"/>
          <w14:textFill>
            <w14:solidFill>
              <w14:schemeClr w14:val="tx1"/>
            </w14:solidFill>
          </w14:textFill>
        </w:rPr>
      </w:pPr>
    </w:p>
    <w:p>
      <w:pPr>
        <w:pStyle w:val="3"/>
        <w:rPr>
          <w:rFonts w:ascii="宋体"/>
          <w:b w:val="0"/>
          <w:color w:val="000000" w:themeColor="text1"/>
          <w:sz w:val="36"/>
          <w:szCs w:val="36"/>
          <w14:textFill>
            <w14:solidFill>
              <w14:schemeClr w14:val="tx1"/>
            </w14:solidFill>
          </w14:textFill>
        </w:rPr>
      </w:pPr>
      <w:r>
        <w:rPr>
          <w:rFonts w:ascii="宋体"/>
          <w:color w:val="000000" w:themeColor="text1"/>
          <w:spacing w:val="4"/>
          <w:sz w:val="24"/>
          <w14:textFill>
            <w14:solidFill>
              <w14:schemeClr w14:val="tx1"/>
            </w14:solidFill>
          </w14:textFill>
        </w:rPr>
        <w:br w:type="page"/>
      </w:r>
      <w:bookmarkStart w:id="20" w:name="_Toc43367693"/>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3</w:t>
      </w:r>
      <w:r>
        <w:rPr>
          <w:rFonts w:hint="eastAsia" w:ascii="宋体" w:hAnsi="宋体"/>
          <w:b w:val="0"/>
          <w:color w:val="000000" w:themeColor="text1"/>
          <w:sz w:val="21"/>
          <w:szCs w:val="21"/>
          <w14:textFill>
            <w14:solidFill>
              <w14:schemeClr w14:val="tx1"/>
            </w14:solidFill>
          </w14:textFill>
        </w:rPr>
        <w:t>：配置清单及分项报价表</w:t>
      </w:r>
      <w:bookmarkEnd w:id="20"/>
    </w:p>
    <w:p>
      <w:pPr>
        <w:snapToGrid w:val="0"/>
        <w:spacing w:line="360" w:lineRule="auto"/>
        <w:ind w:right="-351" w:rightChars="-167" w:firstLine="5251" w:firstLineChars="1453"/>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配置清单及分项报价表</w:t>
      </w:r>
    </w:p>
    <w:tbl>
      <w:tblPr>
        <w:tblStyle w:val="17"/>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364" w:type="dxa"/>
            <w:gridSpan w:val="4"/>
            <w:vAlign w:val="center"/>
          </w:tcPr>
          <w:p>
            <w:pPr>
              <w:spacing w:line="360" w:lineRule="auto"/>
              <w:jc w:val="center"/>
              <w:rPr>
                <w:rFonts w:asci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3"/>
            <w:vAlign w:val="center"/>
          </w:tcPr>
          <w:p>
            <w:pPr>
              <w:spacing w:line="360" w:lineRule="auto"/>
              <w:jc w:val="center"/>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2894"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主机（部件、配件等）名称</w:t>
            </w:r>
          </w:p>
        </w:tc>
        <w:tc>
          <w:tcPr>
            <w:tcW w:w="1739"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规格型号</w:t>
            </w:r>
          </w:p>
        </w:tc>
        <w:tc>
          <w:tcPr>
            <w:tcW w:w="2357"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生产厂商</w:t>
            </w:r>
          </w:p>
        </w:tc>
        <w:tc>
          <w:tcPr>
            <w:tcW w:w="683"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224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jc w:val="left"/>
              <w:rPr>
                <w:rFonts w:asci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tcPr>
          <w:p>
            <w:pPr>
              <w:spacing w:line="360" w:lineRule="auto"/>
              <w:rPr>
                <w:rFonts w:ascii="宋体"/>
                <w:color w:val="000000" w:themeColor="text1"/>
                <w:sz w:val="24"/>
                <w14:textFill>
                  <w14:solidFill>
                    <w14:schemeClr w14:val="tx1"/>
                  </w14:solidFill>
                </w14:textFill>
              </w:rPr>
            </w:pPr>
          </w:p>
        </w:tc>
        <w:tc>
          <w:tcPr>
            <w:tcW w:w="2894" w:type="dxa"/>
            <w:gridSpan w:val="3"/>
          </w:tcPr>
          <w:p>
            <w:pPr>
              <w:spacing w:line="360" w:lineRule="auto"/>
              <w:rPr>
                <w:rFonts w:ascii="宋体"/>
                <w:color w:val="000000" w:themeColor="text1"/>
                <w:sz w:val="24"/>
                <w14:textFill>
                  <w14:solidFill>
                    <w14:schemeClr w14:val="tx1"/>
                  </w14:solidFill>
                </w14:textFill>
              </w:rPr>
            </w:pPr>
          </w:p>
        </w:tc>
        <w:tc>
          <w:tcPr>
            <w:tcW w:w="1739" w:type="dxa"/>
          </w:tcPr>
          <w:p>
            <w:pPr>
              <w:spacing w:line="360" w:lineRule="auto"/>
              <w:rPr>
                <w:rFonts w:ascii="宋体"/>
                <w:color w:val="000000" w:themeColor="text1"/>
                <w:sz w:val="24"/>
                <w14:textFill>
                  <w14:solidFill>
                    <w14:schemeClr w14:val="tx1"/>
                  </w14:solidFill>
                </w14:textFill>
              </w:rPr>
            </w:pPr>
          </w:p>
        </w:tc>
        <w:tc>
          <w:tcPr>
            <w:tcW w:w="2357" w:type="dxa"/>
          </w:tcPr>
          <w:p>
            <w:pPr>
              <w:spacing w:line="360" w:lineRule="auto"/>
              <w:rPr>
                <w:rFonts w:ascii="宋体"/>
                <w:color w:val="000000" w:themeColor="text1"/>
                <w:sz w:val="24"/>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3015" w:type="dxa"/>
            <w:gridSpan w:val="2"/>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vAlign w:val="center"/>
          </w:tcPr>
          <w:p>
            <w:pPr>
              <w:spacing w:line="360" w:lineRule="auto"/>
              <w:jc w:val="center"/>
              <w:rPr>
                <w:rFonts w:ascii="宋体"/>
                <w:b/>
                <w:color w:val="000000" w:themeColor="text1"/>
                <w:sz w:val="24"/>
                <w14:textFill>
                  <w14:solidFill>
                    <w14:schemeClr w14:val="tx1"/>
                  </w14:solidFill>
                </w14:textFill>
              </w:rPr>
            </w:pPr>
          </w:p>
        </w:tc>
      </w:tr>
    </w:tbl>
    <w:p>
      <w:pPr>
        <w:pStyle w:val="3"/>
        <w:rPr>
          <w:rFonts w:ascii="宋体"/>
          <w:b w:val="0"/>
          <w:color w:val="000000" w:themeColor="text1"/>
          <w:sz w:val="36"/>
          <w:szCs w:val="36"/>
          <w14:textFill>
            <w14:solidFill>
              <w14:schemeClr w14:val="tx1"/>
            </w14:solidFill>
          </w14:textFill>
        </w:rPr>
      </w:pPr>
      <w:r>
        <w:rPr>
          <w:rFonts w:ascii="宋体" w:hAnsi="宋体"/>
          <w:color w:val="000000" w:themeColor="text1"/>
          <w:spacing w:val="4"/>
          <w:sz w:val="24"/>
          <w14:textFill>
            <w14:solidFill>
              <w14:schemeClr w14:val="tx1"/>
            </w14:solidFill>
          </w14:textFill>
        </w:rPr>
        <w:br w:type="page"/>
      </w:r>
      <w:bookmarkStart w:id="21" w:name="_Toc43367694"/>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4</w:t>
      </w:r>
      <w:r>
        <w:rPr>
          <w:rFonts w:hint="eastAsia" w:ascii="宋体" w:hAnsi="宋体"/>
          <w:b w:val="0"/>
          <w:color w:val="000000" w:themeColor="text1"/>
          <w:sz w:val="21"/>
          <w:szCs w:val="21"/>
          <w14:textFill>
            <w14:solidFill>
              <w14:schemeClr w14:val="tx1"/>
            </w14:solidFill>
          </w14:textFill>
        </w:rPr>
        <w:t>：技术规格响应</w:t>
      </w:r>
      <w:r>
        <w:rPr>
          <w:rFonts w:ascii="宋体" w:hAnsi="宋体"/>
          <w:b w:val="0"/>
          <w:color w:val="000000" w:themeColor="text1"/>
          <w:sz w:val="21"/>
          <w:szCs w:val="21"/>
          <w14:textFill>
            <w14:solidFill>
              <w14:schemeClr w14:val="tx1"/>
            </w14:solidFill>
          </w14:textFill>
        </w:rPr>
        <w:t>/</w:t>
      </w:r>
      <w:r>
        <w:rPr>
          <w:rFonts w:hint="eastAsia" w:ascii="宋体" w:hAnsi="宋体"/>
          <w:b w:val="0"/>
          <w:color w:val="000000" w:themeColor="text1"/>
          <w:sz w:val="21"/>
          <w:szCs w:val="21"/>
          <w14:textFill>
            <w14:solidFill>
              <w14:schemeClr w14:val="tx1"/>
            </w14:solidFill>
          </w14:textFill>
        </w:rPr>
        <w:t>偏离表</w:t>
      </w:r>
      <w:bookmarkEnd w:id="21"/>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技术规格响应</w:t>
      </w:r>
      <w:r>
        <w:rPr>
          <w:rFonts w:ascii="宋体"/>
          <w:b/>
          <w:color w:val="000000" w:themeColor="text1"/>
          <w:sz w:val="36"/>
          <w:szCs w:val="36"/>
          <w14:textFill>
            <w14:solidFill>
              <w14:schemeClr w14:val="tx1"/>
            </w14:solidFill>
          </w14:textFill>
        </w:rPr>
        <w:t>/</w:t>
      </w:r>
      <w:r>
        <w:rPr>
          <w:rFonts w:hint="eastAsia" w:ascii="宋体"/>
          <w:b/>
          <w:color w:val="000000" w:themeColor="text1"/>
          <w:sz w:val="36"/>
          <w:szCs w:val="36"/>
          <w14:textFill>
            <w14:solidFill>
              <w14:schemeClr w14:val="tx1"/>
            </w14:solidFill>
          </w14:textFill>
        </w:rPr>
        <w:t>偏离表</w:t>
      </w:r>
    </w:p>
    <w:tbl>
      <w:tblPr>
        <w:tblStyle w:val="17"/>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采购规格</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投标规格</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注：投标人应对照用户需求表中的技术规格，逐条核对所提供货物和服务是否做出了实质性的响应，有偏离的必须做出说明，对有具体参数要求的指标项，投标人必须提供本次投标货物的具体参数值。</w:t>
      </w:r>
    </w:p>
    <w:p>
      <w:pPr>
        <w:pStyle w:val="3"/>
        <w:rPr>
          <w:rFonts w:ascii="宋体"/>
          <w:b w:val="0"/>
          <w:color w:val="000000" w:themeColor="text1"/>
          <w:sz w:val="36"/>
          <w:szCs w:val="36"/>
          <w14:textFill>
            <w14:solidFill>
              <w14:schemeClr w14:val="tx1"/>
            </w14:solidFill>
          </w14:textFill>
        </w:rPr>
      </w:pPr>
      <w:r>
        <w:rPr>
          <w:rFonts w:ascii="宋体"/>
          <w:color w:val="000000" w:themeColor="text1"/>
          <w:sz w:val="24"/>
          <w14:textFill>
            <w14:solidFill>
              <w14:schemeClr w14:val="tx1"/>
            </w14:solidFill>
          </w14:textFill>
        </w:rPr>
        <w:br w:type="page"/>
      </w:r>
      <w:bookmarkStart w:id="22" w:name="_Toc43367695"/>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5</w:t>
      </w:r>
      <w:r>
        <w:rPr>
          <w:rFonts w:hint="eastAsia" w:ascii="宋体" w:hAnsi="宋体"/>
          <w:b w:val="0"/>
          <w:color w:val="000000" w:themeColor="text1"/>
          <w:sz w:val="21"/>
          <w:szCs w:val="21"/>
          <w14:textFill>
            <w14:solidFill>
              <w14:schemeClr w14:val="tx1"/>
            </w14:solidFill>
          </w14:textFill>
        </w:rPr>
        <w:t>：商务条款响应</w:t>
      </w:r>
      <w:r>
        <w:rPr>
          <w:rFonts w:ascii="宋体" w:hAnsi="宋体"/>
          <w:b w:val="0"/>
          <w:color w:val="000000" w:themeColor="text1"/>
          <w:sz w:val="21"/>
          <w:szCs w:val="21"/>
          <w14:textFill>
            <w14:solidFill>
              <w14:schemeClr w14:val="tx1"/>
            </w14:solidFill>
          </w14:textFill>
        </w:rPr>
        <w:t>/</w:t>
      </w:r>
      <w:r>
        <w:rPr>
          <w:rFonts w:hint="eastAsia" w:ascii="宋体" w:hAnsi="宋体"/>
          <w:b w:val="0"/>
          <w:color w:val="000000" w:themeColor="text1"/>
          <w:sz w:val="21"/>
          <w:szCs w:val="21"/>
          <w14:textFill>
            <w14:solidFill>
              <w14:schemeClr w14:val="tx1"/>
            </w14:solidFill>
          </w14:textFill>
        </w:rPr>
        <w:t>偏离表</w:t>
      </w:r>
      <w:bookmarkEnd w:id="22"/>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商务条款响应</w:t>
      </w:r>
      <w:r>
        <w:rPr>
          <w:rFonts w:ascii="宋体" w:hAnsi="宋体"/>
          <w:b/>
          <w:bCs/>
          <w:color w:val="000000" w:themeColor="text1"/>
          <w:sz w:val="36"/>
          <w:szCs w:val="36"/>
          <w14:textFill>
            <w14:solidFill>
              <w14:schemeClr w14:val="tx1"/>
            </w14:solidFill>
          </w14:textFill>
        </w:rPr>
        <w:t>/</w:t>
      </w:r>
      <w:r>
        <w:rPr>
          <w:rFonts w:hint="eastAsia" w:ascii="宋体" w:hAnsi="宋体"/>
          <w:b/>
          <w:bCs/>
          <w:color w:val="000000" w:themeColor="text1"/>
          <w:sz w:val="36"/>
          <w:szCs w:val="36"/>
          <w14:textFill>
            <w14:solidFill>
              <w14:schemeClr w14:val="tx1"/>
            </w14:solidFill>
          </w14:textFill>
        </w:rPr>
        <w:t>偏离表</w:t>
      </w:r>
    </w:p>
    <w:tbl>
      <w:tblPr>
        <w:tblStyle w:val="17"/>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20" w:type="dxa"/>
            <w:gridSpan w:val="3"/>
            <w:vAlign w:val="center"/>
          </w:tcPr>
          <w:p>
            <w:pPr>
              <w:ind w:left="-90"/>
              <w:jc w:val="center"/>
              <w:rPr>
                <w:rFonts w:ascii="宋体"/>
                <w:color w:val="000000" w:themeColor="text1"/>
                <w:kern w:val="0"/>
                <w:sz w:val="24"/>
                <w14:textFill>
                  <w14:solidFill>
                    <w14:schemeClr w14:val="tx1"/>
                  </w14:solidFill>
                </w14:textFill>
              </w:rPr>
            </w:pPr>
          </w:p>
        </w:tc>
        <w:tc>
          <w:tcPr>
            <w:tcW w:w="1418"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006" w:type="dxa"/>
            <w:vAlign w:val="center"/>
          </w:tcPr>
          <w:p>
            <w:pPr>
              <w:ind w:left="-90"/>
              <w:jc w:val="center"/>
              <w:rPr>
                <w:rFonts w:ascii="宋体"/>
                <w:color w:val="000000" w:themeColor="text1"/>
                <w:kern w:val="0"/>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686"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采购条款</w:t>
            </w:r>
          </w:p>
        </w:tc>
        <w:tc>
          <w:tcPr>
            <w:tcW w:w="4252" w:type="dxa"/>
            <w:gridSpan w:val="2"/>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投标条款</w:t>
            </w:r>
          </w:p>
        </w:tc>
        <w:tc>
          <w:tcPr>
            <w:tcW w:w="1418"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4006" w:type="dxa"/>
            <w:vAlign w:val="center"/>
          </w:tcPr>
          <w:p>
            <w:pPr>
              <w:ind w:left="-90"/>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right="-288" w:rightChars="-137"/>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tcPr>
          <w:p>
            <w:pPr>
              <w:ind w:left="-90"/>
              <w:jc w:val="left"/>
              <w:rPr>
                <w:rFonts w:ascii="Mincho"/>
                <w:color w:val="000000" w:themeColor="text1"/>
                <w:kern w:val="0"/>
                <w:sz w:val="20"/>
                <w14:textFill>
                  <w14:solidFill>
                    <w14:schemeClr w14:val="tx1"/>
                  </w14:solidFill>
                </w14:textFill>
              </w:rPr>
            </w:pPr>
          </w:p>
        </w:tc>
        <w:tc>
          <w:tcPr>
            <w:tcW w:w="3686" w:type="dxa"/>
            <w:gridSpan w:val="2"/>
          </w:tcPr>
          <w:p>
            <w:pPr>
              <w:ind w:left="-90"/>
              <w:jc w:val="left"/>
              <w:rPr>
                <w:rFonts w:ascii="Mincho"/>
                <w:color w:val="000000" w:themeColor="text1"/>
                <w:kern w:val="0"/>
                <w:sz w:val="20"/>
                <w14:textFill>
                  <w14:solidFill>
                    <w14:schemeClr w14:val="tx1"/>
                  </w14:solidFill>
                </w14:textFill>
              </w:rPr>
            </w:pPr>
          </w:p>
        </w:tc>
        <w:tc>
          <w:tcPr>
            <w:tcW w:w="4252" w:type="dxa"/>
            <w:gridSpan w:val="2"/>
          </w:tcPr>
          <w:p>
            <w:pPr>
              <w:ind w:left="-90"/>
              <w:jc w:val="left"/>
              <w:rPr>
                <w:rFonts w:ascii="Mincho"/>
                <w:color w:val="000000" w:themeColor="text1"/>
                <w:kern w:val="0"/>
                <w:sz w:val="20"/>
                <w14:textFill>
                  <w14:solidFill>
                    <w14:schemeClr w14:val="tx1"/>
                  </w14:solidFill>
                </w14:textFill>
              </w:rPr>
            </w:pPr>
          </w:p>
        </w:tc>
        <w:tc>
          <w:tcPr>
            <w:tcW w:w="1418" w:type="dxa"/>
          </w:tcPr>
          <w:p>
            <w:pPr>
              <w:ind w:left="-90"/>
              <w:jc w:val="left"/>
              <w:rPr>
                <w:rFonts w:ascii="Mincho"/>
                <w:color w:val="000000" w:themeColor="text1"/>
                <w:kern w:val="0"/>
                <w:sz w:val="20"/>
                <w14:textFill>
                  <w14:solidFill>
                    <w14:schemeClr w14:val="tx1"/>
                  </w14:solidFill>
                </w14:textFill>
              </w:rPr>
            </w:pPr>
          </w:p>
        </w:tc>
        <w:tc>
          <w:tcPr>
            <w:tcW w:w="4006"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投标人名称（公章）</w:t>
            </w:r>
          </w:p>
        </w:tc>
        <w:tc>
          <w:tcPr>
            <w:tcW w:w="2268" w:type="dxa"/>
            <w:vAlign w:val="center"/>
          </w:tcPr>
          <w:p>
            <w:pPr>
              <w:ind w:left="-90"/>
              <w:jc w:val="center"/>
              <w:rPr>
                <w:rFonts w:ascii="Mincho"/>
                <w:color w:val="000000" w:themeColor="text1"/>
                <w:kern w:val="0"/>
                <w:sz w:val="20"/>
                <w14:textFill>
                  <w14:solidFill>
                    <w14:schemeClr w14:val="tx1"/>
                  </w14:solidFill>
                </w14:textFill>
              </w:rPr>
            </w:pPr>
          </w:p>
        </w:tc>
        <w:tc>
          <w:tcPr>
            <w:tcW w:w="2693"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1559" w:type="dxa"/>
            <w:vAlign w:val="center"/>
          </w:tcPr>
          <w:p>
            <w:pPr>
              <w:ind w:left="-90"/>
              <w:jc w:val="center"/>
              <w:rPr>
                <w:rFonts w:ascii="Mincho"/>
                <w:color w:val="000000" w:themeColor="text1"/>
                <w:kern w:val="0"/>
                <w:sz w:val="20"/>
                <w14:textFill>
                  <w14:solidFill>
                    <w14:schemeClr w14:val="tx1"/>
                  </w14:solidFill>
                </w14:textFill>
              </w:rPr>
            </w:pPr>
          </w:p>
        </w:tc>
        <w:tc>
          <w:tcPr>
            <w:tcW w:w="1418"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4006"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color w:val="000000" w:themeColor="text1"/>
          <w:sz w:val="24"/>
          <w14:textFill>
            <w14:solidFill>
              <w14:schemeClr w14:val="tx1"/>
            </w14:solidFill>
          </w14:textFill>
        </w:rPr>
        <w:sectPr>
          <w:pgSz w:w="16838" w:h="11906" w:orient="landscape"/>
          <w:pgMar w:top="1644" w:right="1440" w:bottom="1644" w:left="1440" w:header="851" w:footer="992" w:gutter="0"/>
          <w:cols w:space="425" w:num="1"/>
          <w:docGrid w:type="lines" w:linePitch="312" w:charSpace="0"/>
        </w:sectPr>
      </w:pPr>
      <w:r>
        <w:rPr>
          <w:rFonts w:hint="eastAsia" w:ascii="宋体" w:hAnsi="宋体"/>
          <w:color w:val="000000" w:themeColor="text1"/>
          <w:sz w:val="24"/>
          <w14:textFill>
            <w14:solidFill>
              <w14:schemeClr w14:val="tx1"/>
            </w14:solidFill>
          </w14:textFill>
        </w:rPr>
        <w:t>注：投标人应对照竞争性磋商文件的商务条款，逐条核对是否做出了实质性的响应，有偏离的必须做出说明。</w:t>
      </w:r>
    </w:p>
    <w:p>
      <w:pPr>
        <w:pStyle w:val="3"/>
        <w:rPr>
          <w:rFonts w:ascii="宋体" w:hAnsi="宋体"/>
          <w:b w:val="0"/>
          <w:color w:val="000000" w:themeColor="text1"/>
          <w:sz w:val="21"/>
          <w:szCs w:val="21"/>
          <w14:textFill>
            <w14:solidFill>
              <w14:schemeClr w14:val="tx1"/>
            </w14:solidFill>
          </w14:textFill>
        </w:rPr>
      </w:pPr>
      <w:bookmarkStart w:id="23" w:name="_Toc43367696"/>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6</w:t>
      </w:r>
      <w:r>
        <w:rPr>
          <w:rFonts w:hint="eastAsia" w:ascii="宋体" w:hAnsi="宋体"/>
          <w:b w:val="0"/>
          <w:color w:val="000000" w:themeColor="text1"/>
          <w:sz w:val="21"/>
          <w:szCs w:val="21"/>
          <w14:textFill>
            <w14:solidFill>
              <w14:schemeClr w14:val="tx1"/>
            </w14:solidFill>
          </w14:textFill>
        </w:rPr>
        <w:t>：法定代表人资格证明</w:t>
      </w:r>
      <w:bookmarkEnd w:id="23"/>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法定代表人资格证明</w:t>
      </w:r>
    </w:p>
    <w:p>
      <w:pPr>
        <w:spacing w:after="312" w:afterLines="100" w:line="480" w:lineRule="auto"/>
        <w:ind w:left="-136" w:right="-350"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南通大学启东校区建设指挥部：</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系我公司的法</w:t>
      </w:r>
      <w:r>
        <w:rPr>
          <w:rFonts w:hint="eastAsia" w:ascii="宋体" w:hAnsi="宋体" w:cs="宋体"/>
          <w:color w:val="000000" w:themeColor="text1"/>
          <w:kern w:val="0"/>
          <w:sz w:val="28"/>
          <w:szCs w:val="28"/>
          <w14:textFill>
            <w14:solidFill>
              <w14:schemeClr w14:val="tx1"/>
            </w14:solidFill>
          </w14:textFill>
        </w:rPr>
        <w:t>定代表人，</w:t>
      </w:r>
      <w:r>
        <w:rPr>
          <w:rFonts w:hint="eastAsia"/>
          <w:color w:val="000000" w:themeColor="text1"/>
          <w:sz w:val="28"/>
          <w:szCs w:val="28"/>
          <w14:textFill>
            <w14:solidFill>
              <w14:schemeClr w14:val="tx1"/>
            </w14:solidFill>
          </w14:textFill>
        </w:rPr>
        <w:t>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p>
    <w:p>
      <w:pPr>
        <w:pStyle w:val="3"/>
        <w:rPr>
          <w:color w:val="000000" w:themeColor="text1"/>
          <w14:textFill>
            <w14:solidFill>
              <w14:schemeClr w14:val="tx1"/>
            </w14:solidFill>
          </w14:textFill>
        </w:rPr>
      </w:pPr>
      <w:bookmarkStart w:id="24" w:name="_Toc43367697"/>
      <w:r>
        <w:rPr>
          <w:color w:val="000000" w:themeColor="text1"/>
          <w:sz w:val="21"/>
          <w:szCs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617855</wp:posOffset>
                </wp:positionH>
                <wp:positionV relativeFrom="paragraph">
                  <wp:posOffset>448310</wp:posOffset>
                </wp:positionV>
                <wp:extent cx="4058920" cy="2437765"/>
                <wp:effectExtent l="0" t="0" r="17780" b="1968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4058920" cy="243776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法人代表人身份证复印件粘贴处（正反两面）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48.65pt;margin-top:35.3pt;height:191.95pt;width:319.6pt;z-index:251657216;mso-width-relative:page;mso-height-relative:page;" fillcolor="#FFFFFF" filled="t" stroked="t" coordsize="21600,21600"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Gwhsl2AAAAAkBAAAPAAAA&#10;AAAAAAEAIAAAACIAAABkcnMvZG93bnJldi54bWxQSwECFAAUAAAACACHTuJA+kRMfBUCAAA5BAAA&#10;DgAAAAAAAAABACAAAAAnAQAAZHJzL2Uyb0RvYy54bWxQSwUGAAAAAAYABgBZAQAArgU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法人代表人身份证复印件粘贴处（正反两面）</w:t>
                      </w:r>
                    </w:p>
                  </w:txbxContent>
                </v:textbox>
              </v:shape>
            </w:pict>
          </mc:Fallback>
        </mc:AlternateContent>
      </w:r>
      <w:r>
        <w:rPr>
          <w:rFonts w:ascii="宋体"/>
          <w:color w:val="000000" w:themeColor="text1"/>
          <w:sz w:val="30"/>
          <w14:textFill>
            <w14:solidFill>
              <w14:schemeClr w14:val="tx1"/>
            </w14:solidFill>
          </w14:textFill>
        </w:rPr>
        <w:br w:type="page"/>
      </w:r>
      <w:r>
        <w:rPr>
          <w:rFonts w:hint="eastAsia" w:ascii="宋体" w:hAnsi="宋体"/>
          <w:b w:val="0"/>
          <w:color w:val="000000" w:themeColor="text1"/>
          <w:sz w:val="21"/>
          <w:szCs w:val="21"/>
          <w14:textFill>
            <w14:solidFill>
              <w14:schemeClr w14:val="tx1"/>
            </w14:solidFill>
          </w14:textFill>
        </w:rPr>
        <w:t>附件</w:t>
      </w:r>
      <w:r>
        <w:rPr>
          <w:rFonts w:ascii="宋体" w:hAnsi="宋体"/>
          <w:b w:val="0"/>
          <w:color w:val="000000" w:themeColor="text1"/>
          <w:sz w:val="21"/>
          <w:szCs w:val="21"/>
          <w14:textFill>
            <w14:solidFill>
              <w14:schemeClr w14:val="tx1"/>
            </w14:solidFill>
          </w14:textFill>
        </w:rPr>
        <w:t>7</w:t>
      </w:r>
      <w:r>
        <w:rPr>
          <w:rFonts w:hint="eastAsia" w:ascii="宋体" w:hAnsi="宋体"/>
          <w:b w:val="0"/>
          <w:color w:val="000000" w:themeColor="text1"/>
          <w:sz w:val="21"/>
          <w:szCs w:val="21"/>
          <w14:textFill>
            <w14:solidFill>
              <w14:schemeClr w14:val="tx1"/>
            </w14:solidFill>
          </w14:textFill>
        </w:rPr>
        <w:t>：法定代表人授权书</w:t>
      </w:r>
      <w:bookmarkEnd w:id="24"/>
    </w:p>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法定代表人授权书</w:t>
      </w:r>
    </w:p>
    <w:p>
      <w:pPr>
        <w:spacing w:line="480" w:lineRule="auto"/>
        <w:ind w:left="-137" w:right="-350" w:rightChars="-167"/>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南通大学启东校区建设指挥部：</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（单位名称）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为本公司的合法代理人，参加南通大学</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投标人名称：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116840</wp:posOffset>
                </wp:positionV>
                <wp:extent cx="3886200" cy="2179320"/>
                <wp:effectExtent l="0" t="0" r="19050" b="1143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3886200" cy="2179320"/>
                        </a:xfrm>
                        <a:prstGeom prst="rect">
                          <a:avLst/>
                        </a:prstGeom>
                        <a:solidFill>
                          <a:srgbClr val="FFFFFF"/>
                        </a:solidFill>
                        <a:ln w="9525">
                          <a:solidFill>
                            <a:srgbClr val="000000"/>
                          </a:solidFill>
                          <a:miter lim="800000"/>
                        </a:ln>
                      </wps:spPr>
                      <wps:txbx>
                        <w:txbxContent>
                          <w:p/>
                          <w:p/>
                          <w:p/>
                          <w:p/>
                          <w:p>
                            <w:pPr>
                              <w:jc w:val="center"/>
                            </w:pPr>
                            <w:r>
                              <w:rPr>
                                <w:rFonts w:hint="eastAsia"/>
                                <w:sz w:val="24"/>
                              </w:rPr>
                              <w:t>被授权人身份证复印件粘贴处（正反两面）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57.75pt;margin-top:9.2pt;height:171.6pt;width:306pt;z-index:251658240;mso-width-relative:page;mso-height-relative:page;" fillcolor="#FFFFFF" filled="t" stroked="t" coordsize="21600,21600"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DwimN2QAAAAoBAAAP&#10;AAAAAAAAAAEAIAAAACIAAABkcnMvZG93bnJldi54bWxQSwECFAAUAAAACACHTuJALkQIahcCAAA5&#10;BAAADgAAAAAAAAABACAAAAAoAQAAZHJzL2Uyb0RvYy54bWxQSwUGAAAAAAYABgBZAQAAsQUAAAAA&#10;">
                <v:fill on="t" focussize="0,0"/>
                <v:stroke color="#000000" miterlimit="8" joinstyle="miter"/>
                <v:imagedata o:title=""/>
                <o:lock v:ext="edit" aspectratio="f"/>
                <v:textbox>
                  <w:txbxContent>
                    <w:p/>
                    <w:p/>
                    <w:p/>
                    <w:p/>
                    <w:p>
                      <w:pPr>
                        <w:jc w:val="center"/>
                      </w:pPr>
                      <w:r>
                        <w:rPr>
                          <w:rFonts w:hint="eastAsia"/>
                          <w:sz w:val="24"/>
                        </w:rPr>
                        <w:t>被授权人身份证复印件粘贴处（正反两面）</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pStyle w:val="38"/>
        <w:shd w:val="clear" w:color="auto" w:fill="FFFFFF"/>
        <w:spacing w:before="0" w:beforeAutospacing="0" w:after="0" w:afterAutospacing="0" w:line="2160"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pStyle w:val="3"/>
        <w:rPr>
          <w:b w:val="0"/>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bookmarkStart w:id="25" w:name="_Toc43367698"/>
      <w:bookmarkStart w:id="26" w:name="_Toc40432593"/>
      <w:r>
        <w:rPr>
          <w:rFonts w:hint="eastAsia" w:ascii="宋体" w:hAnsi="宋体"/>
          <w:b w:val="0"/>
          <w:color w:val="000000" w:themeColor="text1"/>
          <w:sz w:val="21"/>
          <w:szCs w:val="21"/>
          <w14:textFill>
            <w14:solidFill>
              <w14:schemeClr w14:val="tx1"/>
            </w14:solidFill>
          </w14:textFill>
        </w:rPr>
        <w:t>附件8：报名投标确认函</w:t>
      </w:r>
      <w:bookmarkEnd w:id="25"/>
      <w:bookmarkEnd w:id="26"/>
    </w:p>
    <w:p>
      <w:pPr>
        <w:spacing w:before="312" w:beforeLines="100" w:after="468" w:afterLines="150"/>
        <w:jc w:val="center"/>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报名投标确认函</w:t>
      </w:r>
    </w:p>
    <w:p>
      <w:pPr>
        <w:spacing w:line="400" w:lineRule="exact"/>
        <w:ind w:left="-136" w:right="-350" w:rightChars="-167"/>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南通大学启东校区建设指挥部：</w:t>
      </w:r>
    </w:p>
    <w:p>
      <w:pPr>
        <w:widowControl/>
        <w:snapToGrid w:val="0"/>
        <w:spacing w:line="400" w:lineRule="exact"/>
        <w:ind w:firstLine="6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我单位自愿参与贵校</w:t>
      </w:r>
      <w:r>
        <w:rPr>
          <w:rFonts w:hint="eastAsia" w:ascii="宋体" w:hAnsi="宋体" w:cs="宋体"/>
          <w:color w:val="000000" w:themeColor="text1"/>
          <w:kern w:val="0"/>
          <w:sz w:val="24"/>
          <w:u w:val="single"/>
          <w14:textFill>
            <w14:solidFill>
              <w14:schemeClr w14:val="tx1"/>
            </w14:solidFill>
          </w14:textFill>
        </w:rPr>
        <w:t xml:space="preserve">   （项目名称及编号）    </w:t>
      </w:r>
      <w:r>
        <w:rPr>
          <w:rFonts w:hint="eastAsia" w:ascii="宋体" w:hAnsi="宋体" w:cs="宋体"/>
          <w:color w:val="000000" w:themeColor="text1"/>
          <w:kern w:val="0"/>
          <w:sz w:val="24"/>
          <w14:textFill>
            <w14:solidFill>
              <w14:schemeClr w14:val="tx1"/>
            </w14:solidFill>
          </w14:textFill>
        </w:rPr>
        <w:t>项目的投标，现发确认函并做出以下承诺：</w:t>
      </w:r>
    </w:p>
    <w:p>
      <w:pPr>
        <w:widowControl/>
        <w:snapToGrid w:val="0"/>
        <w:spacing w:line="400" w:lineRule="exact"/>
        <w:ind w:firstLine="60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1、我单位完全符合采购公告中的投标人资质要求；</w:t>
      </w:r>
    </w:p>
    <w:p>
      <w:pPr>
        <w:widowControl/>
        <w:snapToGrid w:val="0"/>
        <w:spacing w:line="400" w:lineRule="exact"/>
        <w:ind w:firstLine="60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2、我单位在投标过程中会严格遵守国家法律法规以及贵校相关管理规定；</w:t>
      </w:r>
    </w:p>
    <w:p>
      <w:pPr>
        <w:widowControl/>
        <w:snapToGrid w:val="0"/>
        <w:spacing w:line="400" w:lineRule="exact"/>
        <w:ind w:firstLine="60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3、我单位与本项目相关负责人之间均不存在可能影响公正性的任何利害关系；</w:t>
      </w:r>
    </w:p>
    <w:p>
      <w:pPr>
        <w:pStyle w:val="34"/>
        <w:spacing w:line="400" w:lineRule="exact"/>
        <w:ind w:firstLine="600" w:firstLineChars="250"/>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4、我单位参加投标人员没有到过疫情严重地区且无与疫情严重地区人员接触史，具有绿色健康码，进入校园后全程佩戴口罩。</w:t>
      </w:r>
    </w:p>
    <w:p>
      <w:pPr>
        <w:widowControl/>
        <w:snapToGrid w:val="0"/>
        <w:spacing w:line="400" w:lineRule="exact"/>
        <w:ind w:firstLine="601"/>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如我单位提供虚假信息或未履行以上承诺，贵校可保留追究我单位法律责任的权利。</w:t>
      </w:r>
    </w:p>
    <w:p>
      <w:pPr>
        <w:widowControl/>
        <w:snapToGrid w:val="0"/>
        <w:spacing w:line="400" w:lineRule="exact"/>
        <w:ind w:firstLine="2880" w:firstLineChars="1200"/>
        <w:jc w:val="left"/>
        <w:rPr>
          <w:rFonts w:ascii="宋体" w:hAnsi="宋体" w:cs="宋体"/>
          <w:color w:val="000000" w:themeColor="text1"/>
          <w:kern w:val="0"/>
          <w:sz w:val="24"/>
          <w14:textFill>
            <w14:solidFill>
              <w14:schemeClr w14:val="tx1"/>
            </w14:solidFill>
          </w14:textFill>
        </w:rPr>
      </w:pPr>
    </w:p>
    <w:p>
      <w:pPr>
        <w:widowControl/>
        <w:snapToGrid w:val="0"/>
        <w:spacing w:line="400" w:lineRule="exact"/>
        <w:ind w:firstLine="3360" w:firstLineChars="1400"/>
        <w:rPr>
          <w:rFonts w:ascii="宋体" w:hAnsi="宋体" w:cs="宋体"/>
          <w:color w:val="000000" w:themeColor="text1"/>
          <w:kern w:val="0"/>
          <w:sz w:val="24"/>
          <w14:textFill>
            <w14:solidFill>
              <w14:schemeClr w14:val="tx1"/>
            </w14:solidFill>
          </w14:textFill>
        </w:rPr>
      </w:pPr>
      <w:bookmarkStart w:id="27" w:name="_GoBack"/>
      <w:bookmarkEnd w:id="27"/>
      <w:r>
        <w:rPr>
          <w:rFonts w:hint="eastAsia" w:ascii="宋体" w:hAnsi="宋体" w:cs="宋体"/>
          <w:color w:val="000000" w:themeColor="text1"/>
          <w:kern w:val="0"/>
          <w:sz w:val="24"/>
          <w14:textFill>
            <w14:solidFill>
              <w14:schemeClr w14:val="tx1"/>
            </w14:solidFill>
          </w14:textFill>
        </w:rPr>
        <w:t>投标人名称：</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（公章）</w:t>
      </w:r>
    </w:p>
    <w:p>
      <w:pPr>
        <w:widowControl/>
        <w:snapToGrid w:val="0"/>
        <w:spacing w:line="400" w:lineRule="exact"/>
        <w:ind w:firstLine="3480" w:firstLineChars="145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税务登记号：</w:t>
      </w:r>
      <w:r>
        <w:rPr>
          <w:rFonts w:hint="eastAsia" w:ascii="宋体" w:hAnsi="宋体" w:cs="宋体"/>
          <w:color w:val="000000" w:themeColor="text1"/>
          <w:kern w:val="0"/>
          <w:sz w:val="24"/>
          <w:u w:val="single"/>
          <w14:textFill>
            <w14:solidFill>
              <w14:schemeClr w14:val="tx1"/>
            </w14:solidFill>
          </w14:textFill>
        </w:rPr>
        <w:t xml:space="preserve">                         </w:t>
      </w:r>
    </w:p>
    <w:p>
      <w:pPr>
        <w:widowControl/>
        <w:snapToGrid w:val="0"/>
        <w:spacing w:line="400" w:lineRule="exact"/>
        <w:ind w:firstLine="3480" w:firstLineChars="145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法定代表人（授权代表）签字：</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r>
        <w:rPr>
          <w:rFonts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w:t>
      </w:r>
    </w:p>
    <w:p>
      <w:pPr>
        <w:widowControl/>
        <w:snapToGrid w:val="0"/>
        <w:spacing w:line="400" w:lineRule="exact"/>
        <w:ind w:firstLine="3480" w:firstLineChars="145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授权代表联系电话（手机）：</w:t>
      </w:r>
      <w:r>
        <w:rPr>
          <w:rFonts w:hint="eastAsia" w:ascii="宋体" w:hAnsi="宋体" w:cs="宋体"/>
          <w:color w:val="000000" w:themeColor="text1"/>
          <w:kern w:val="0"/>
          <w:sz w:val="24"/>
          <w:u w:val="single"/>
          <w14:textFill>
            <w14:solidFill>
              <w14:schemeClr w14:val="tx1"/>
            </w14:solidFill>
          </w14:textFill>
        </w:rPr>
        <w:t xml:space="preserve">            </w:t>
      </w:r>
    </w:p>
    <w:p>
      <w:pPr>
        <w:pStyle w:val="44"/>
        <w:spacing w:before="0" w:after="0" w:line="400" w:lineRule="exact"/>
        <w:ind w:firstLine="3480" w:firstLineChars="1450"/>
        <w:jc w:val="both"/>
        <w:rPr>
          <w:rFonts w:ascii="宋体" w:hAnsi="宋体"/>
          <w:color w:val="000000" w:themeColor="text1"/>
          <w:kern w:val="2"/>
          <w:u w:val="single"/>
          <w14:textFill>
            <w14:solidFill>
              <w14:schemeClr w14:val="tx1"/>
            </w14:solidFill>
          </w14:textFill>
        </w:rPr>
      </w:pPr>
      <w:r>
        <w:rPr>
          <w:rFonts w:hint="eastAsia" w:ascii="宋体" w:hAnsi="宋体"/>
          <w:color w:val="000000" w:themeColor="text1"/>
          <w:kern w:val="2"/>
          <w14:textFill>
            <w14:solidFill>
              <w14:schemeClr w14:val="tx1"/>
            </w14:solidFill>
          </w14:textFill>
        </w:rPr>
        <w:t>授权代表身份证号码：</w:t>
      </w:r>
      <w:r>
        <w:rPr>
          <w:rFonts w:hint="eastAsia" w:ascii="宋体" w:hAnsi="宋体"/>
          <w:color w:val="000000" w:themeColor="text1"/>
          <w:kern w:val="2"/>
          <w:u w:val="single"/>
          <w14:textFill>
            <w14:solidFill>
              <w14:schemeClr w14:val="tx1"/>
            </w14:solidFill>
          </w14:textFill>
        </w:rPr>
        <w:t xml:space="preserve">                  </w:t>
      </w:r>
    </w:p>
    <w:p>
      <w:pPr>
        <w:pStyle w:val="44"/>
        <w:spacing w:before="0" w:after="0" w:line="400" w:lineRule="exact"/>
        <w:ind w:firstLine="3480" w:firstLineChars="1450"/>
        <w:jc w:val="both"/>
        <w:rPr>
          <w:rFonts w:ascii="宋体" w:hAnsi="宋体"/>
          <w:color w:val="000000" w:themeColor="text1"/>
          <w:kern w:val="2"/>
          <w14:textFill>
            <w14:solidFill>
              <w14:schemeClr w14:val="tx1"/>
            </w14:solidFill>
          </w14:textFill>
        </w:rPr>
      </w:pPr>
      <w:r>
        <w:rPr>
          <w:rFonts w:hint="eastAsia" w:ascii="宋体" w:hAnsi="宋体"/>
          <w:color w:val="000000" w:themeColor="text1"/>
          <w:kern w:val="2"/>
          <w14:textFill>
            <w14:solidFill>
              <w14:schemeClr w14:val="tx1"/>
            </w14:solidFill>
          </w14:textFill>
        </w:rPr>
        <w:t>授权代表现阶段居住地：</w:t>
      </w:r>
      <w:r>
        <w:rPr>
          <w:rFonts w:hint="eastAsia" w:ascii="宋体" w:hAnsi="宋体"/>
          <w:color w:val="000000" w:themeColor="text1"/>
          <w:kern w:val="2"/>
          <w:u w:val="single"/>
          <w14:textFill>
            <w14:solidFill>
              <w14:schemeClr w14:val="tx1"/>
            </w14:solidFill>
          </w14:textFill>
        </w:rPr>
        <w:t xml:space="preserve">                 </w:t>
      </w:r>
      <w:r>
        <w:rPr>
          <w:rFonts w:hint="eastAsia" w:ascii="宋体" w:hAnsi="宋体"/>
          <w:color w:val="000000" w:themeColor="text1"/>
          <w:kern w:val="2"/>
          <w14:textFill>
            <w14:solidFill>
              <w14:schemeClr w14:val="tx1"/>
            </w14:solidFill>
          </w14:textFill>
        </w:rPr>
        <w:t xml:space="preserve">                      </w:t>
      </w:r>
    </w:p>
    <w:p>
      <w:pPr>
        <w:widowControl/>
        <w:snapToGrid w:val="0"/>
        <w:spacing w:line="400" w:lineRule="exact"/>
        <w:ind w:firstLine="3600" w:firstLineChars="15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授权代表电子邮箱：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p>
    <w:p>
      <w:pPr>
        <w:widowControl/>
        <w:snapToGrid w:val="0"/>
        <w:spacing w:line="400" w:lineRule="exact"/>
        <w:ind w:firstLine="3480" w:firstLineChars="1450"/>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标书递交方式：1.快递邮寄（ ）；现场递交（  ）</w:t>
      </w:r>
    </w:p>
    <w:p>
      <w:pPr>
        <w:widowControl/>
        <w:snapToGrid w:val="0"/>
        <w:spacing w:line="400" w:lineRule="exact"/>
        <w:ind w:firstLine="3000" w:firstLineChars="1250"/>
        <w:rPr>
          <w:rFonts w:ascii="宋体" w:hAnsi="宋体" w:cs="宋体"/>
          <w:color w:val="000000" w:themeColor="text1"/>
          <w:kern w:val="0"/>
          <w:sz w:val="24"/>
          <w14:textFill>
            <w14:solidFill>
              <w14:schemeClr w14:val="tx1"/>
            </w14:solidFill>
          </w14:textFill>
        </w:rPr>
      </w:pPr>
    </w:p>
    <w:p>
      <w:pPr>
        <w:widowControl/>
        <w:snapToGrid w:val="0"/>
        <w:spacing w:line="400" w:lineRule="exact"/>
        <w:ind w:firstLine="4080" w:firstLineChars="17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日期：</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日</w:t>
      </w:r>
    </w:p>
    <w:p>
      <w:pPr>
        <w:widowControl/>
        <w:snapToGrid w:val="0"/>
        <w:spacing w:line="400" w:lineRule="exact"/>
        <w:ind w:firstLine="2520" w:firstLineChars="1200"/>
        <w:jc w:val="left"/>
        <w:rPr>
          <w:rFonts w:ascii="宋体" w:hAnsi="宋体"/>
          <w:color w:val="000000" w:themeColor="text1"/>
          <w:u w:val="single"/>
          <w14:textFill>
            <w14:solidFill>
              <w14:schemeClr w14:val="tx1"/>
            </w14:solidFill>
          </w14:textFill>
        </w:rPr>
      </w:pPr>
    </w:p>
    <w:p>
      <w:pPr>
        <w:spacing w:line="400" w:lineRule="exact"/>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备注：</w:t>
      </w:r>
    </w:p>
    <w:p>
      <w:pPr>
        <w:spacing w:line="400" w:lineRule="exact"/>
        <w:ind w:firstLine="480" w:firstLineChars="200"/>
        <w:rPr>
          <w:rFonts w:ascii="黑体" w:hAnsi="黑体" w:eastAsia="黑体" w:cs="宋体"/>
          <w:b/>
          <w:color w:val="000000" w:themeColor="text1"/>
          <w:kern w:val="0"/>
          <w:sz w:val="24"/>
          <w14:textFill>
            <w14:solidFill>
              <w14:schemeClr w14:val="tx1"/>
            </w14:solidFill>
          </w14:textFill>
        </w:rPr>
      </w:pPr>
      <w:r>
        <w:rPr>
          <w:rFonts w:hint="eastAsia" w:ascii="黑体" w:hAnsi="黑体" w:eastAsia="黑体" w:cs="宋体"/>
          <w:b/>
          <w:color w:val="000000" w:themeColor="text1"/>
          <w:kern w:val="0"/>
          <w:sz w:val="24"/>
          <w14:textFill>
            <w14:solidFill>
              <w14:schemeClr w14:val="tx1"/>
            </w14:solidFill>
          </w14:textFill>
        </w:rPr>
        <w:t>根据疫情防控要求，如采用现场递交标书的方式，投标代表须在提交投标确认函的同时上传当日“苏康码”截图、身份证截图，通过电子邮箱（word版本）发送到邮箱：</w:t>
      </w:r>
      <w:r>
        <w:rPr>
          <w:rFonts w:hint="eastAsia" w:ascii="宋体" w:hAnsi="宋体"/>
          <w:color w:val="000000" w:themeColor="text1"/>
          <w:spacing w:val="2"/>
          <w:kern w:val="0"/>
          <w:sz w:val="24"/>
          <w14:textFill>
            <w14:solidFill>
              <w14:schemeClr w14:val="tx1"/>
            </w14:solidFill>
          </w14:textFill>
        </w:rPr>
        <w:t>qdxqgwh@ntu.edu.cn</w:t>
      </w:r>
      <w:r>
        <w:rPr>
          <w:rFonts w:hint="eastAsia" w:ascii="黑体" w:hAnsi="黑体" w:eastAsia="黑体" w:cs="宋体"/>
          <w:b/>
          <w:color w:val="000000" w:themeColor="text1"/>
          <w:kern w:val="0"/>
          <w:sz w:val="24"/>
          <w14:textFill>
            <w14:solidFill>
              <w14:schemeClr w14:val="tx1"/>
            </w14:solidFill>
          </w14:textFill>
        </w:rPr>
        <w:t>，因投标人填写有误，造成以上信息资料不实、不全的，将由投标人承担责任。</w:t>
      </w:r>
    </w:p>
    <w:p>
      <w:pPr>
        <w:rPr>
          <w:rFonts w:ascii="宋体" w:hAnsi="宋体" w:cs="宋体"/>
          <w:color w:val="000000" w:themeColor="text1"/>
          <w:kern w:val="0"/>
          <w:sz w:val="28"/>
          <w:szCs w:val="28"/>
          <w14:textFill>
            <w14:solidFill>
              <w14:schemeClr w14:val="tx1"/>
            </w14:solidFill>
          </w14:textFill>
        </w:rPr>
      </w:pPr>
    </w:p>
    <w:p>
      <w:pPr>
        <w:widowControl/>
        <w:jc w:val="left"/>
        <w:rPr>
          <w:rFonts w:ascii="宋体" w:hAnsi="宋体" w:cs="宋体"/>
          <w:color w:val="000000" w:themeColor="text1"/>
          <w:kern w:val="0"/>
          <w:sz w:val="24"/>
          <w14:textFill>
            <w14:solidFill>
              <w14:schemeClr w14:val="tx1"/>
            </w14:solidFill>
          </w14:textFill>
        </w:rPr>
      </w:pPr>
    </w:p>
    <w:sectPr>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14</w:t>
    </w:r>
    <w:r>
      <w:rPr>
        <w:rStyle w:val="20"/>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E9B5A2"/>
    <w:multiLevelType w:val="singleLevel"/>
    <w:tmpl w:val="E4E9B5A2"/>
    <w:lvl w:ilvl="0" w:tentative="0">
      <w:start w:val="1"/>
      <w:numFmt w:val="decimal"/>
      <w:lvlText w:val="%1."/>
      <w:lvlJc w:val="left"/>
      <w:pPr>
        <w:tabs>
          <w:tab w:val="left" w:pos="312"/>
        </w:tabs>
      </w:pPr>
    </w:lvl>
  </w:abstractNum>
  <w:abstractNum w:abstractNumId="1">
    <w:nsid w:val="79341173"/>
    <w:multiLevelType w:val="multilevel"/>
    <w:tmpl w:val="79341173"/>
    <w:lvl w:ilvl="0" w:tentative="0">
      <w:start w:val="3"/>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8"/>
    <w:rsid w:val="00000501"/>
    <w:rsid w:val="00001A56"/>
    <w:rsid w:val="00002648"/>
    <w:rsid w:val="00003395"/>
    <w:rsid w:val="00004DBF"/>
    <w:rsid w:val="00005AB8"/>
    <w:rsid w:val="00006484"/>
    <w:rsid w:val="0000725E"/>
    <w:rsid w:val="00012689"/>
    <w:rsid w:val="00012697"/>
    <w:rsid w:val="000147DD"/>
    <w:rsid w:val="00021365"/>
    <w:rsid w:val="00021BF3"/>
    <w:rsid w:val="0002312F"/>
    <w:rsid w:val="000239CA"/>
    <w:rsid w:val="00024DA7"/>
    <w:rsid w:val="00025837"/>
    <w:rsid w:val="000274CB"/>
    <w:rsid w:val="0002793A"/>
    <w:rsid w:val="00031B24"/>
    <w:rsid w:val="00032D17"/>
    <w:rsid w:val="00034A43"/>
    <w:rsid w:val="000351C0"/>
    <w:rsid w:val="000417FF"/>
    <w:rsid w:val="00041FEE"/>
    <w:rsid w:val="000429A4"/>
    <w:rsid w:val="00042A55"/>
    <w:rsid w:val="000434FE"/>
    <w:rsid w:val="00043D8D"/>
    <w:rsid w:val="000443C4"/>
    <w:rsid w:val="00044B37"/>
    <w:rsid w:val="00045790"/>
    <w:rsid w:val="00046E5B"/>
    <w:rsid w:val="000477CA"/>
    <w:rsid w:val="00051925"/>
    <w:rsid w:val="00053728"/>
    <w:rsid w:val="00054989"/>
    <w:rsid w:val="000568DD"/>
    <w:rsid w:val="00057B03"/>
    <w:rsid w:val="00060724"/>
    <w:rsid w:val="00060ADA"/>
    <w:rsid w:val="00064112"/>
    <w:rsid w:val="0006616B"/>
    <w:rsid w:val="00066248"/>
    <w:rsid w:val="00066555"/>
    <w:rsid w:val="0006702C"/>
    <w:rsid w:val="00071B1D"/>
    <w:rsid w:val="0007344D"/>
    <w:rsid w:val="00074438"/>
    <w:rsid w:val="00076040"/>
    <w:rsid w:val="0007612C"/>
    <w:rsid w:val="000767E7"/>
    <w:rsid w:val="00083DFC"/>
    <w:rsid w:val="00084163"/>
    <w:rsid w:val="000848A3"/>
    <w:rsid w:val="00086B43"/>
    <w:rsid w:val="00087074"/>
    <w:rsid w:val="0009236E"/>
    <w:rsid w:val="000925D5"/>
    <w:rsid w:val="00092BB9"/>
    <w:rsid w:val="00093765"/>
    <w:rsid w:val="00093C27"/>
    <w:rsid w:val="00093C37"/>
    <w:rsid w:val="000961F3"/>
    <w:rsid w:val="000A3FA7"/>
    <w:rsid w:val="000A4287"/>
    <w:rsid w:val="000A4D56"/>
    <w:rsid w:val="000A7148"/>
    <w:rsid w:val="000A77D0"/>
    <w:rsid w:val="000B0A28"/>
    <w:rsid w:val="000B2555"/>
    <w:rsid w:val="000B5752"/>
    <w:rsid w:val="000B7409"/>
    <w:rsid w:val="000B79AB"/>
    <w:rsid w:val="000B7EDF"/>
    <w:rsid w:val="000C0A43"/>
    <w:rsid w:val="000C31B5"/>
    <w:rsid w:val="000C6B0F"/>
    <w:rsid w:val="000D028E"/>
    <w:rsid w:val="000D1EFE"/>
    <w:rsid w:val="000D36DD"/>
    <w:rsid w:val="000D3F7B"/>
    <w:rsid w:val="000D5714"/>
    <w:rsid w:val="000E0081"/>
    <w:rsid w:val="000E1357"/>
    <w:rsid w:val="000E24A3"/>
    <w:rsid w:val="000E2BD1"/>
    <w:rsid w:val="000E2C2E"/>
    <w:rsid w:val="000E3CB4"/>
    <w:rsid w:val="000E4009"/>
    <w:rsid w:val="000E56EE"/>
    <w:rsid w:val="000E64E4"/>
    <w:rsid w:val="000E6F1D"/>
    <w:rsid w:val="000F0037"/>
    <w:rsid w:val="000F0440"/>
    <w:rsid w:val="000F1079"/>
    <w:rsid w:val="000F1EB9"/>
    <w:rsid w:val="000F272D"/>
    <w:rsid w:val="000F3C27"/>
    <w:rsid w:val="000F6EAA"/>
    <w:rsid w:val="001005CB"/>
    <w:rsid w:val="0010325F"/>
    <w:rsid w:val="00103D20"/>
    <w:rsid w:val="00104693"/>
    <w:rsid w:val="00106C11"/>
    <w:rsid w:val="00114146"/>
    <w:rsid w:val="00114DB4"/>
    <w:rsid w:val="00116BA0"/>
    <w:rsid w:val="00116DDF"/>
    <w:rsid w:val="001210ED"/>
    <w:rsid w:val="0012182C"/>
    <w:rsid w:val="00121B51"/>
    <w:rsid w:val="00123177"/>
    <w:rsid w:val="001260E1"/>
    <w:rsid w:val="00126F73"/>
    <w:rsid w:val="0013026B"/>
    <w:rsid w:val="00130E08"/>
    <w:rsid w:val="001310C3"/>
    <w:rsid w:val="00133398"/>
    <w:rsid w:val="00133AAB"/>
    <w:rsid w:val="001348D7"/>
    <w:rsid w:val="00135245"/>
    <w:rsid w:val="00136154"/>
    <w:rsid w:val="00136FBD"/>
    <w:rsid w:val="00140D31"/>
    <w:rsid w:val="00140D70"/>
    <w:rsid w:val="0014199F"/>
    <w:rsid w:val="00142261"/>
    <w:rsid w:val="001444F3"/>
    <w:rsid w:val="00146504"/>
    <w:rsid w:val="0014760E"/>
    <w:rsid w:val="00147AFB"/>
    <w:rsid w:val="00152BA3"/>
    <w:rsid w:val="00153516"/>
    <w:rsid w:val="00155F9B"/>
    <w:rsid w:val="001610DE"/>
    <w:rsid w:val="001612D9"/>
    <w:rsid w:val="00161B09"/>
    <w:rsid w:val="00161C3C"/>
    <w:rsid w:val="00163CFE"/>
    <w:rsid w:val="00163DDD"/>
    <w:rsid w:val="00163F24"/>
    <w:rsid w:val="0016503B"/>
    <w:rsid w:val="00166AAC"/>
    <w:rsid w:val="00166F0F"/>
    <w:rsid w:val="001705C2"/>
    <w:rsid w:val="00171259"/>
    <w:rsid w:val="00172074"/>
    <w:rsid w:val="001728EA"/>
    <w:rsid w:val="00174242"/>
    <w:rsid w:val="001743E2"/>
    <w:rsid w:val="001752B2"/>
    <w:rsid w:val="00175BE0"/>
    <w:rsid w:val="00176B4C"/>
    <w:rsid w:val="00176BCE"/>
    <w:rsid w:val="00176E90"/>
    <w:rsid w:val="00177710"/>
    <w:rsid w:val="00177745"/>
    <w:rsid w:val="001804B0"/>
    <w:rsid w:val="00180E28"/>
    <w:rsid w:val="001813A0"/>
    <w:rsid w:val="001813E6"/>
    <w:rsid w:val="001826AD"/>
    <w:rsid w:val="001859F7"/>
    <w:rsid w:val="00185BC3"/>
    <w:rsid w:val="00185BF5"/>
    <w:rsid w:val="00187914"/>
    <w:rsid w:val="0019034E"/>
    <w:rsid w:val="0019035A"/>
    <w:rsid w:val="00190BE9"/>
    <w:rsid w:val="00191C6F"/>
    <w:rsid w:val="00193997"/>
    <w:rsid w:val="001954A3"/>
    <w:rsid w:val="00195537"/>
    <w:rsid w:val="001963B3"/>
    <w:rsid w:val="00197A5E"/>
    <w:rsid w:val="001A1A44"/>
    <w:rsid w:val="001A28E0"/>
    <w:rsid w:val="001A5AB3"/>
    <w:rsid w:val="001B0CD7"/>
    <w:rsid w:val="001B1DD7"/>
    <w:rsid w:val="001B43BC"/>
    <w:rsid w:val="001B46F0"/>
    <w:rsid w:val="001B4AA5"/>
    <w:rsid w:val="001B65F9"/>
    <w:rsid w:val="001B6BCF"/>
    <w:rsid w:val="001B73D4"/>
    <w:rsid w:val="001C00FD"/>
    <w:rsid w:val="001C23F7"/>
    <w:rsid w:val="001C4468"/>
    <w:rsid w:val="001C4A2D"/>
    <w:rsid w:val="001C5A8E"/>
    <w:rsid w:val="001C7D85"/>
    <w:rsid w:val="001D10C5"/>
    <w:rsid w:val="001D1C36"/>
    <w:rsid w:val="001D2718"/>
    <w:rsid w:val="001D2C67"/>
    <w:rsid w:val="001D344E"/>
    <w:rsid w:val="001D377A"/>
    <w:rsid w:val="001D4984"/>
    <w:rsid w:val="001D6EE0"/>
    <w:rsid w:val="001D728F"/>
    <w:rsid w:val="001D739C"/>
    <w:rsid w:val="001D75ED"/>
    <w:rsid w:val="001D7DC1"/>
    <w:rsid w:val="001D7FD7"/>
    <w:rsid w:val="001E1BBF"/>
    <w:rsid w:val="001E1F23"/>
    <w:rsid w:val="001E25C2"/>
    <w:rsid w:val="001E31AE"/>
    <w:rsid w:val="001E4EE1"/>
    <w:rsid w:val="001E6644"/>
    <w:rsid w:val="001E6BEA"/>
    <w:rsid w:val="001E6C13"/>
    <w:rsid w:val="001E7B3B"/>
    <w:rsid w:val="001F09D7"/>
    <w:rsid w:val="001F2289"/>
    <w:rsid w:val="001F2B74"/>
    <w:rsid w:val="001F2F91"/>
    <w:rsid w:val="001F3D72"/>
    <w:rsid w:val="001F5C3F"/>
    <w:rsid w:val="001F627A"/>
    <w:rsid w:val="001F6675"/>
    <w:rsid w:val="001F6B27"/>
    <w:rsid w:val="001F7169"/>
    <w:rsid w:val="001F73B3"/>
    <w:rsid w:val="001F7581"/>
    <w:rsid w:val="00200188"/>
    <w:rsid w:val="0020403B"/>
    <w:rsid w:val="00204794"/>
    <w:rsid w:val="002054BE"/>
    <w:rsid w:val="00205C7D"/>
    <w:rsid w:val="00205CCB"/>
    <w:rsid w:val="00205F34"/>
    <w:rsid w:val="00207F1F"/>
    <w:rsid w:val="00211178"/>
    <w:rsid w:val="00211342"/>
    <w:rsid w:val="00211AB0"/>
    <w:rsid w:val="002131B1"/>
    <w:rsid w:val="00213F85"/>
    <w:rsid w:val="002147E5"/>
    <w:rsid w:val="002150BE"/>
    <w:rsid w:val="0021530C"/>
    <w:rsid w:val="002155B0"/>
    <w:rsid w:val="0021613B"/>
    <w:rsid w:val="002163DF"/>
    <w:rsid w:val="00220323"/>
    <w:rsid w:val="0022181E"/>
    <w:rsid w:val="00222D35"/>
    <w:rsid w:val="0022386C"/>
    <w:rsid w:val="00224266"/>
    <w:rsid w:val="00225BBA"/>
    <w:rsid w:val="00225BED"/>
    <w:rsid w:val="00226002"/>
    <w:rsid w:val="00226832"/>
    <w:rsid w:val="00231C80"/>
    <w:rsid w:val="002330D6"/>
    <w:rsid w:val="00234498"/>
    <w:rsid w:val="00234F9D"/>
    <w:rsid w:val="0023593C"/>
    <w:rsid w:val="002360F7"/>
    <w:rsid w:val="002362D7"/>
    <w:rsid w:val="00236657"/>
    <w:rsid w:val="002366D5"/>
    <w:rsid w:val="002370F2"/>
    <w:rsid w:val="00240E47"/>
    <w:rsid w:val="00247E62"/>
    <w:rsid w:val="002502F9"/>
    <w:rsid w:val="00251AB1"/>
    <w:rsid w:val="00252EF8"/>
    <w:rsid w:val="00255ECB"/>
    <w:rsid w:val="00256DF1"/>
    <w:rsid w:val="0026032A"/>
    <w:rsid w:val="0026111E"/>
    <w:rsid w:val="00262109"/>
    <w:rsid w:val="00263424"/>
    <w:rsid w:val="00266B67"/>
    <w:rsid w:val="00266DF6"/>
    <w:rsid w:val="00266E80"/>
    <w:rsid w:val="00267F4D"/>
    <w:rsid w:val="002725A7"/>
    <w:rsid w:val="002726E7"/>
    <w:rsid w:val="00274541"/>
    <w:rsid w:val="00280023"/>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4C51"/>
    <w:rsid w:val="002A5670"/>
    <w:rsid w:val="002A6EA6"/>
    <w:rsid w:val="002B18A4"/>
    <w:rsid w:val="002B395B"/>
    <w:rsid w:val="002B48A8"/>
    <w:rsid w:val="002B4C8F"/>
    <w:rsid w:val="002B4EF4"/>
    <w:rsid w:val="002B5649"/>
    <w:rsid w:val="002B74CE"/>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2BA"/>
    <w:rsid w:val="002D45D2"/>
    <w:rsid w:val="002D4A2A"/>
    <w:rsid w:val="002D78AE"/>
    <w:rsid w:val="002E0E3E"/>
    <w:rsid w:val="002E129D"/>
    <w:rsid w:val="002E1BD1"/>
    <w:rsid w:val="002E250B"/>
    <w:rsid w:val="002E28D2"/>
    <w:rsid w:val="002E3B9F"/>
    <w:rsid w:val="002E3D5A"/>
    <w:rsid w:val="002E43C2"/>
    <w:rsid w:val="002E51A5"/>
    <w:rsid w:val="002F12BC"/>
    <w:rsid w:val="002F21E3"/>
    <w:rsid w:val="002F3582"/>
    <w:rsid w:val="002F5F54"/>
    <w:rsid w:val="003000F9"/>
    <w:rsid w:val="00300181"/>
    <w:rsid w:val="00301796"/>
    <w:rsid w:val="00301B81"/>
    <w:rsid w:val="00302AD4"/>
    <w:rsid w:val="00306E39"/>
    <w:rsid w:val="00307E40"/>
    <w:rsid w:val="00310976"/>
    <w:rsid w:val="00310BCF"/>
    <w:rsid w:val="00311670"/>
    <w:rsid w:val="00311702"/>
    <w:rsid w:val="00311AE5"/>
    <w:rsid w:val="00311AE6"/>
    <w:rsid w:val="0031585B"/>
    <w:rsid w:val="00315FEF"/>
    <w:rsid w:val="0032019B"/>
    <w:rsid w:val="00321C14"/>
    <w:rsid w:val="00322263"/>
    <w:rsid w:val="00322DB7"/>
    <w:rsid w:val="00323698"/>
    <w:rsid w:val="003248C3"/>
    <w:rsid w:val="00325EEC"/>
    <w:rsid w:val="0032752D"/>
    <w:rsid w:val="003301D8"/>
    <w:rsid w:val="00330484"/>
    <w:rsid w:val="003363B9"/>
    <w:rsid w:val="003365D8"/>
    <w:rsid w:val="00336E52"/>
    <w:rsid w:val="00340136"/>
    <w:rsid w:val="00340863"/>
    <w:rsid w:val="00341B85"/>
    <w:rsid w:val="00342F09"/>
    <w:rsid w:val="0034442F"/>
    <w:rsid w:val="00344671"/>
    <w:rsid w:val="0034512C"/>
    <w:rsid w:val="00345908"/>
    <w:rsid w:val="003503D7"/>
    <w:rsid w:val="00352CD3"/>
    <w:rsid w:val="0035410C"/>
    <w:rsid w:val="00354CA5"/>
    <w:rsid w:val="00360E2B"/>
    <w:rsid w:val="00361199"/>
    <w:rsid w:val="00362448"/>
    <w:rsid w:val="00362508"/>
    <w:rsid w:val="00363E13"/>
    <w:rsid w:val="00364715"/>
    <w:rsid w:val="00366156"/>
    <w:rsid w:val="00367D93"/>
    <w:rsid w:val="003702ED"/>
    <w:rsid w:val="003704B4"/>
    <w:rsid w:val="00370AB0"/>
    <w:rsid w:val="00371718"/>
    <w:rsid w:val="00373220"/>
    <w:rsid w:val="003776D0"/>
    <w:rsid w:val="00382F2B"/>
    <w:rsid w:val="0038346A"/>
    <w:rsid w:val="003841FE"/>
    <w:rsid w:val="00387F3E"/>
    <w:rsid w:val="00390D10"/>
    <w:rsid w:val="003915D5"/>
    <w:rsid w:val="00391C4C"/>
    <w:rsid w:val="00393A47"/>
    <w:rsid w:val="00393CBA"/>
    <w:rsid w:val="0039549D"/>
    <w:rsid w:val="00395B37"/>
    <w:rsid w:val="00396A12"/>
    <w:rsid w:val="003977BF"/>
    <w:rsid w:val="003A037F"/>
    <w:rsid w:val="003A1A52"/>
    <w:rsid w:val="003A2EFE"/>
    <w:rsid w:val="003A3FA6"/>
    <w:rsid w:val="003A7A7E"/>
    <w:rsid w:val="003B376F"/>
    <w:rsid w:val="003C0236"/>
    <w:rsid w:val="003C255A"/>
    <w:rsid w:val="003C394B"/>
    <w:rsid w:val="003C6C16"/>
    <w:rsid w:val="003C7802"/>
    <w:rsid w:val="003C785A"/>
    <w:rsid w:val="003D0F40"/>
    <w:rsid w:val="003D27A2"/>
    <w:rsid w:val="003D3AD9"/>
    <w:rsid w:val="003D4EFD"/>
    <w:rsid w:val="003D71A7"/>
    <w:rsid w:val="003D7E65"/>
    <w:rsid w:val="003E1820"/>
    <w:rsid w:val="003E2381"/>
    <w:rsid w:val="003E3064"/>
    <w:rsid w:val="003E42FD"/>
    <w:rsid w:val="003E4D8A"/>
    <w:rsid w:val="003E5E54"/>
    <w:rsid w:val="003E61A1"/>
    <w:rsid w:val="003F0004"/>
    <w:rsid w:val="003F021F"/>
    <w:rsid w:val="003F389A"/>
    <w:rsid w:val="003F38D9"/>
    <w:rsid w:val="003F6371"/>
    <w:rsid w:val="003F7C4D"/>
    <w:rsid w:val="003F7F43"/>
    <w:rsid w:val="0040043F"/>
    <w:rsid w:val="00401145"/>
    <w:rsid w:val="00404F81"/>
    <w:rsid w:val="00405924"/>
    <w:rsid w:val="00407D09"/>
    <w:rsid w:val="00410E6C"/>
    <w:rsid w:val="00413CC7"/>
    <w:rsid w:val="00414080"/>
    <w:rsid w:val="00415F44"/>
    <w:rsid w:val="00416F7D"/>
    <w:rsid w:val="004175D0"/>
    <w:rsid w:val="00417F11"/>
    <w:rsid w:val="00420018"/>
    <w:rsid w:val="00421E54"/>
    <w:rsid w:val="00422AEE"/>
    <w:rsid w:val="00424445"/>
    <w:rsid w:val="0042767A"/>
    <w:rsid w:val="00427A55"/>
    <w:rsid w:val="00430318"/>
    <w:rsid w:val="0043250B"/>
    <w:rsid w:val="0043762E"/>
    <w:rsid w:val="00440341"/>
    <w:rsid w:val="00443318"/>
    <w:rsid w:val="0044460C"/>
    <w:rsid w:val="00446278"/>
    <w:rsid w:val="00457592"/>
    <w:rsid w:val="004603D3"/>
    <w:rsid w:val="00460BF4"/>
    <w:rsid w:val="00461C8B"/>
    <w:rsid w:val="004636DE"/>
    <w:rsid w:val="00463C05"/>
    <w:rsid w:val="004640DA"/>
    <w:rsid w:val="00466116"/>
    <w:rsid w:val="00470069"/>
    <w:rsid w:val="00470720"/>
    <w:rsid w:val="00470B60"/>
    <w:rsid w:val="00471430"/>
    <w:rsid w:val="00471A36"/>
    <w:rsid w:val="004730A5"/>
    <w:rsid w:val="00473A4E"/>
    <w:rsid w:val="004764AA"/>
    <w:rsid w:val="00477EBA"/>
    <w:rsid w:val="0048091A"/>
    <w:rsid w:val="00481D66"/>
    <w:rsid w:val="00482DC1"/>
    <w:rsid w:val="004843CD"/>
    <w:rsid w:val="00486042"/>
    <w:rsid w:val="00486F81"/>
    <w:rsid w:val="00487FF5"/>
    <w:rsid w:val="00490E9C"/>
    <w:rsid w:val="00491793"/>
    <w:rsid w:val="00493183"/>
    <w:rsid w:val="00493D4F"/>
    <w:rsid w:val="0049489F"/>
    <w:rsid w:val="00494DD3"/>
    <w:rsid w:val="004966DD"/>
    <w:rsid w:val="00496C4F"/>
    <w:rsid w:val="00497388"/>
    <w:rsid w:val="004A1D28"/>
    <w:rsid w:val="004A28F6"/>
    <w:rsid w:val="004B0348"/>
    <w:rsid w:val="004B058E"/>
    <w:rsid w:val="004B06D1"/>
    <w:rsid w:val="004B0D90"/>
    <w:rsid w:val="004B287D"/>
    <w:rsid w:val="004B2BC9"/>
    <w:rsid w:val="004B304A"/>
    <w:rsid w:val="004B311C"/>
    <w:rsid w:val="004B4179"/>
    <w:rsid w:val="004B48E2"/>
    <w:rsid w:val="004B56C1"/>
    <w:rsid w:val="004B66EA"/>
    <w:rsid w:val="004B6B88"/>
    <w:rsid w:val="004B6B94"/>
    <w:rsid w:val="004C2DA5"/>
    <w:rsid w:val="004C4580"/>
    <w:rsid w:val="004C496B"/>
    <w:rsid w:val="004C5020"/>
    <w:rsid w:val="004C59F1"/>
    <w:rsid w:val="004D421B"/>
    <w:rsid w:val="004D4590"/>
    <w:rsid w:val="004D5259"/>
    <w:rsid w:val="004D58FC"/>
    <w:rsid w:val="004D6AAB"/>
    <w:rsid w:val="004D70F5"/>
    <w:rsid w:val="004D7432"/>
    <w:rsid w:val="004E1816"/>
    <w:rsid w:val="004E1F03"/>
    <w:rsid w:val="004E2DE6"/>
    <w:rsid w:val="004E3DC9"/>
    <w:rsid w:val="004E3F28"/>
    <w:rsid w:val="004E6DB9"/>
    <w:rsid w:val="004F0A40"/>
    <w:rsid w:val="004F2B9D"/>
    <w:rsid w:val="004F3506"/>
    <w:rsid w:val="004F3FEB"/>
    <w:rsid w:val="004F4E6F"/>
    <w:rsid w:val="004F4F24"/>
    <w:rsid w:val="004F53D8"/>
    <w:rsid w:val="004F61C1"/>
    <w:rsid w:val="004F6C0E"/>
    <w:rsid w:val="004F6C83"/>
    <w:rsid w:val="005003D5"/>
    <w:rsid w:val="005019BB"/>
    <w:rsid w:val="005030BD"/>
    <w:rsid w:val="005048CF"/>
    <w:rsid w:val="00510683"/>
    <w:rsid w:val="00511F00"/>
    <w:rsid w:val="005142D9"/>
    <w:rsid w:val="00515AFE"/>
    <w:rsid w:val="00521600"/>
    <w:rsid w:val="00521ACC"/>
    <w:rsid w:val="005223D8"/>
    <w:rsid w:val="00524637"/>
    <w:rsid w:val="0052572A"/>
    <w:rsid w:val="005270F1"/>
    <w:rsid w:val="00527C7C"/>
    <w:rsid w:val="005309CF"/>
    <w:rsid w:val="00532285"/>
    <w:rsid w:val="00532593"/>
    <w:rsid w:val="00532C73"/>
    <w:rsid w:val="005359C9"/>
    <w:rsid w:val="00540564"/>
    <w:rsid w:val="00540766"/>
    <w:rsid w:val="00542383"/>
    <w:rsid w:val="005431C3"/>
    <w:rsid w:val="00547C24"/>
    <w:rsid w:val="00554066"/>
    <w:rsid w:val="00554D32"/>
    <w:rsid w:val="00556DA8"/>
    <w:rsid w:val="00557472"/>
    <w:rsid w:val="005643FF"/>
    <w:rsid w:val="0056594E"/>
    <w:rsid w:val="00566901"/>
    <w:rsid w:val="005676D8"/>
    <w:rsid w:val="00570871"/>
    <w:rsid w:val="005728B8"/>
    <w:rsid w:val="00573F72"/>
    <w:rsid w:val="00574979"/>
    <w:rsid w:val="00574B77"/>
    <w:rsid w:val="00575256"/>
    <w:rsid w:val="00575946"/>
    <w:rsid w:val="00576923"/>
    <w:rsid w:val="00580812"/>
    <w:rsid w:val="0058082F"/>
    <w:rsid w:val="005813EB"/>
    <w:rsid w:val="00581D4C"/>
    <w:rsid w:val="00582138"/>
    <w:rsid w:val="00582A99"/>
    <w:rsid w:val="005846F0"/>
    <w:rsid w:val="00584A53"/>
    <w:rsid w:val="00585610"/>
    <w:rsid w:val="00586D77"/>
    <w:rsid w:val="00590268"/>
    <w:rsid w:val="0059128F"/>
    <w:rsid w:val="00593267"/>
    <w:rsid w:val="005952AF"/>
    <w:rsid w:val="00595646"/>
    <w:rsid w:val="00595822"/>
    <w:rsid w:val="00596258"/>
    <w:rsid w:val="00596502"/>
    <w:rsid w:val="005A2574"/>
    <w:rsid w:val="005A2A1F"/>
    <w:rsid w:val="005A48EC"/>
    <w:rsid w:val="005A7E1C"/>
    <w:rsid w:val="005B10A4"/>
    <w:rsid w:val="005B267E"/>
    <w:rsid w:val="005B35A6"/>
    <w:rsid w:val="005C5228"/>
    <w:rsid w:val="005C5487"/>
    <w:rsid w:val="005C7DA2"/>
    <w:rsid w:val="005C7F16"/>
    <w:rsid w:val="005D0A12"/>
    <w:rsid w:val="005D37F9"/>
    <w:rsid w:val="005D57A1"/>
    <w:rsid w:val="005D667C"/>
    <w:rsid w:val="005D67EF"/>
    <w:rsid w:val="005E01BF"/>
    <w:rsid w:val="005E0B67"/>
    <w:rsid w:val="005E213E"/>
    <w:rsid w:val="005E487A"/>
    <w:rsid w:val="005E4891"/>
    <w:rsid w:val="005E7B05"/>
    <w:rsid w:val="005F0F58"/>
    <w:rsid w:val="005F172C"/>
    <w:rsid w:val="005F20CB"/>
    <w:rsid w:val="005F39AF"/>
    <w:rsid w:val="005F41BF"/>
    <w:rsid w:val="005F534A"/>
    <w:rsid w:val="005F5531"/>
    <w:rsid w:val="006005B9"/>
    <w:rsid w:val="006013A3"/>
    <w:rsid w:val="00601408"/>
    <w:rsid w:val="00601486"/>
    <w:rsid w:val="006020E1"/>
    <w:rsid w:val="00604B06"/>
    <w:rsid w:val="00605144"/>
    <w:rsid w:val="0060621C"/>
    <w:rsid w:val="00606572"/>
    <w:rsid w:val="00607591"/>
    <w:rsid w:val="006079D0"/>
    <w:rsid w:val="00607C99"/>
    <w:rsid w:val="006115A9"/>
    <w:rsid w:val="006122AF"/>
    <w:rsid w:val="00612BC7"/>
    <w:rsid w:val="00612DA0"/>
    <w:rsid w:val="00614E31"/>
    <w:rsid w:val="006158E6"/>
    <w:rsid w:val="00617879"/>
    <w:rsid w:val="00617EEE"/>
    <w:rsid w:val="00621537"/>
    <w:rsid w:val="00621A02"/>
    <w:rsid w:val="00623611"/>
    <w:rsid w:val="00623C07"/>
    <w:rsid w:val="0062418C"/>
    <w:rsid w:val="00624969"/>
    <w:rsid w:val="00624F44"/>
    <w:rsid w:val="00625628"/>
    <w:rsid w:val="0062570E"/>
    <w:rsid w:val="006258FC"/>
    <w:rsid w:val="00635FB1"/>
    <w:rsid w:val="00636683"/>
    <w:rsid w:val="00636AAA"/>
    <w:rsid w:val="006418D3"/>
    <w:rsid w:val="00641A7C"/>
    <w:rsid w:val="006438F0"/>
    <w:rsid w:val="00644C53"/>
    <w:rsid w:val="00647C7A"/>
    <w:rsid w:val="006515D9"/>
    <w:rsid w:val="00653FB4"/>
    <w:rsid w:val="00654131"/>
    <w:rsid w:val="00655ECA"/>
    <w:rsid w:val="0065635C"/>
    <w:rsid w:val="00661AA8"/>
    <w:rsid w:val="006623E6"/>
    <w:rsid w:val="006624B7"/>
    <w:rsid w:val="006626BB"/>
    <w:rsid w:val="00664355"/>
    <w:rsid w:val="0066443A"/>
    <w:rsid w:val="00664995"/>
    <w:rsid w:val="006702CF"/>
    <w:rsid w:val="00670B5B"/>
    <w:rsid w:val="006715F2"/>
    <w:rsid w:val="006736D5"/>
    <w:rsid w:val="006760B5"/>
    <w:rsid w:val="00677227"/>
    <w:rsid w:val="00677C16"/>
    <w:rsid w:val="00680D07"/>
    <w:rsid w:val="00681003"/>
    <w:rsid w:val="006827BD"/>
    <w:rsid w:val="00684063"/>
    <w:rsid w:val="00684A5F"/>
    <w:rsid w:val="0069376A"/>
    <w:rsid w:val="0069396D"/>
    <w:rsid w:val="00694276"/>
    <w:rsid w:val="00694F40"/>
    <w:rsid w:val="00695596"/>
    <w:rsid w:val="006956A3"/>
    <w:rsid w:val="006961D2"/>
    <w:rsid w:val="00697188"/>
    <w:rsid w:val="006A026D"/>
    <w:rsid w:val="006A06A4"/>
    <w:rsid w:val="006A5F06"/>
    <w:rsid w:val="006A6CC3"/>
    <w:rsid w:val="006A7316"/>
    <w:rsid w:val="006B0532"/>
    <w:rsid w:val="006B172C"/>
    <w:rsid w:val="006B1CE9"/>
    <w:rsid w:val="006B3094"/>
    <w:rsid w:val="006B3AE7"/>
    <w:rsid w:val="006B5F06"/>
    <w:rsid w:val="006B6F19"/>
    <w:rsid w:val="006B7049"/>
    <w:rsid w:val="006B7F75"/>
    <w:rsid w:val="006C09D0"/>
    <w:rsid w:val="006C1E6A"/>
    <w:rsid w:val="006C237D"/>
    <w:rsid w:val="006C466F"/>
    <w:rsid w:val="006C6AC6"/>
    <w:rsid w:val="006C6F8B"/>
    <w:rsid w:val="006C7080"/>
    <w:rsid w:val="006C717A"/>
    <w:rsid w:val="006D5A44"/>
    <w:rsid w:val="006E0CBD"/>
    <w:rsid w:val="006E1107"/>
    <w:rsid w:val="006E17DC"/>
    <w:rsid w:val="006E2D0E"/>
    <w:rsid w:val="006E5F9F"/>
    <w:rsid w:val="006E6395"/>
    <w:rsid w:val="006E78A2"/>
    <w:rsid w:val="006F272D"/>
    <w:rsid w:val="006F337A"/>
    <w:rsid w:val="006F4B50"/>
    <w:rsid w:val="006F4B5F"/>
    <w:rsid w:val="006F4EDD"/>
    <w:rsid w:val="006F4F47"/>
    <w:rsid w:val="006F5A80"/>
    <w:rsid w:val="006F6132"/>
    <w:rsid w:val="00700D39"/>
    <w:rsid w:val="00702D0F"/>
    <w:rsid w:val="0070793C"/>
    <w:rsid w:val="00707DF8"/>
    <w:rsid w:val="0071104D"/>
    <w:rsid w:val="00716621"/>
    <w:rsid w:val="007176D5"/>
    <w:rsid w:val="007217B9"/>
    <w:rsid w:val="00721A03"/>
    <w:rsid w:val="00722F34"/>
    <w:rsid w:val="00723EC7"/>
    <w:rsid w:val="00724D36"/>
    <w:rsid w:val="00726F30"/>
    <w:rsid w:val="0072733C"/>
    <w:rsid w:val="007316D5"/>
    <w:rsid w:val="00731C64"/>
    <w:rsid w:val="007321A8"/>
    <w:rsid w:val="007338F9"/>
    <w:rsid w:val="00735D69"/>
    <w:rsid w:val="00735FC2"/>
    <w:rsid w:val="0073706D"/>
    <w:rsid w:val="00740C96"/>
    <w:rsid w:val="00741689"/>
    <w:rsid w:val="00743B9C"/>
    <w:rsid w:val="00744B94"/>
    <w:rsid w:val="00745542"/>
    <w:rsid w:val="0074604C"/>
    <w:rsid w:val="00750C73"/>
    <w:rsid w:val="00751EFF"/>
    <w:rsid w:val="007537F1"/>
    <w:rsid w:val="00754B8C"/>
    <w:rsid w:val="00754DD8"/>
    <w:rsid w:val="00755048"/>
    <w:rsid w:val="007601BD"/>
    <w:rsid w:val="00761235"/>
    <w:rsid w:val="00761975"/>
    <w:rsid w:val="007622E3"/>
    <w:rsid w:val="0076316B"/>
    <w:rsid w:val="00764C4D"/>
    <w:rsid w:val="00765F40"/>
    <w:rsid w:val="00766C2D"/>
    <w:rsid w:val="00766C9C"/>
    <w:rsid w:val="00773E47"/>
    <w:rsid w:val="00773F45"/>
    <w:rsid w:val="007741D0"/>
    <w:rsid w:val="00775DEB"/>
    <w:rsid w:val="00776699"/>
    <w:rsid w:val="0078021A"/>
    <w:rsid w:val="007810CE"/>
    <w:rsid w:val="007834A5"/>
    <w:rsid w:val="00784936"/>
    <w:rsid w:val="00785061"/>
    <w:rsid w:val="00785599"/>
    <w:rsid w:val="00786964"/>
    <w:rsid w:val="00786B98"/>
    <w:rsid w:val="00791F84"/>
    <w:rsid w:val="007927D4"/>
    <w:rsid w:val="00792F66"/>
    <w:rsid w:val="007950C2"/>
    <w:rsid w:val="007951A6"/>
    <w:rsid w:val="007956AF"/>
    <w:rsid w:val="00795FE2"/>
    <w:rsid w:val="007963EF"/>
    <w:rsid w:val="007A038A"/>
    <w:rsid w:val="007A117A"/>
    <w:rsid w:val="007A28E4"/>
    <w:rsid w:val="007A3D70"/>
    <w:rsid w:val="007A6295"/>
    <w:rsid w:val="007A6378"/>
    <w:rsid w:val="007A6D86"/>
    <w:rsid w:val="007A76B9"/>
    <w:rsid w:val="007B0562"/>
    <w:rsid w:val="007B07DB"/>
    <w:rsid w:val="007B1DD5"/>
    <w:rsid w:val="007B2C0A"/>
    <w:rsid w:val="007B45E6"/>
    <w:rsid w:val="007B579D"/>
    <w:rsid w:val="007B6075"/>
    <w:rsid w:val="007C030A"/>
    <w:rsid w:val="007C0636"/>
    <w:rsid w:val="007C1A94"/>
    <w:rsid w:val="007C24F7"/>
    <w:rsid w:val="007C6533"/>
    <w:rsid w:val="007D2036"/>
    <w:rsid w:val="007D255C"/>
    <w:rsid w:val="007D4700"/>
    <w:rsid w:val="007D4FD1"/>
    <w:rsid w:val="007D59AB"/>
    <w:rsid w:val="007D5E38"/>
    <w:rsid w:val="007E5F01"/>
    <w:rsid w:val="007E6623"/>
    <w:rsid w:val="007E68BC"/>
    <w:rsid w:val="007E76E8"/>
    <w:rsid w:val="007F11F8"/>
    <w:rsid w:val="007F1CAB"/>
    <w:rsid w:val="007F1F1A"/>
    <w:rsid w:val="007F4913"/>
    <w:rsid w:val="007F4F17"/>
    <w:rsid w:val="007F5248"/>
    <w:rsid w:val="007F7796"/>
    <w:rsid w:val="00800BD7"/>
    <w:rsid w:val="008015B9"/>
    <w:rsid w:val="008025AB"/>
    <w:rsid w:val="008044BA"/>
    <w:rsid w:val="008044D4"/>
    <w:rsid w:val="008077AE"/>
    <w:rsid w:val="00807CA5"/>
    <w:rsid w:val="008102CE"/>
    <w:rsid w:val="008103DC"/>
    <w:rsid w:val="00811354"/>
    <w:rsid w:val="00812341"/>
    <w:rsid w:val="00812E18"/>
    <w:rsid w:val="00813983"/>
    <w:rsid w:val="00813B3F"/>
    <w:rsid w:val="00815753"/>
    <w:rsid w:val="0081577B"/>
    <w:rsid w:val="00815DDA"/>
    <w:rsid w:val="00815FB9"/>
    <w:rsid w:val="008209B8"/>
    <w:rsid w:val="0082249B"/>
    <w:rsid w:val="00822CE4"/>
    <w:rsid w:val="00823832"/>
    <w:rsid w:val="0082418E"/>
    <w:rsid w:val="00825740"/>
    <w:rsid w:val="0082578F"/>
    <w:rsid w:val="00826B06"/>
    <w:rsid w:val="00827E33"/>
    <w:rsid w:val="008303A1"/>
    <w:rsid w:val="00831494"/>
    <w:rsid w:val="00832DEE"/>
    <w:rsid w:val="008330D3"/>
    <w:rsid w:val="00833E24"/>
    <w:rsid w:val="008343E7"/>
    <w:rsid w:val="008359E0"/>
    <w:rsid w:val="008361B2"/>
    <w:rsid w:val="00840B28"/>
    <w:rsid w:val="00841CE5"/>
    <w:rsid w:val="00843071"/>
    <w:rsid w:val="0084349B"/>
    <w:rsid w:val="00844BA1"/>
    <w:rsid w:val="00845B57"/>
    <w:rsid w:val="00845DD5"/>
    <w:rsid w:val="008464D2"/>
    <w:rsid w:val="00846B43"/>
    <w:rsid w:val="00847519"/>
    <w:rsid w:val="00853677"/>
    <w:rsid w:val="00853EDA"/>
    <w:rsid w:val="0086119F"/>
    <w:rsid w:val="00863249"/>
    <w:rsid w:val="00864234"/>
    <w:rsid w:val="008649D3"/>
    <w:rsid w:val="008654D5"/>
    <w:rsid w:val="00865C24"/>
    <w:rsid w:val="00867A62"/>
    <w:rsid w:val="008722A1"/>
    <w:rsid w:val="00872ED1"/>
    <w:rsid w:val="00876117"/>
    <w:rsid w:val="008809E7"/>
    <w:rsid w:val="00885710"/>
    <w:rsid w:val="00886F93"/>
    <w:rsid w:val="00887D17"/>
    <w:rsid w:val="00890ABC"/>
    <w:rsid w:val="00890D15"/>
    <w:rsid w:val="00891FF8"/>
    <w:rsid w:val="00893B2D"/>
    <w:rsid w:val="008940E8"/>
    <w:rsid w:val="00895798"/>
    <w:rsid w:val="00896333"/>
    <w:rsid w:val="008A0476"/>
    <w:rsid w:val="008A1E78"/>
    <w:rsid w:val="008A1FBA"/>
    <w:rsid w:val="008A2E72"/>
    <w:rsid w:val="008B227F"/>
    <w:rsid w:val="008B2DF2"/>
    <w:rsid w:val="008B4557"/>
    <w:rsid w:val="008B4E10"/>
    <w:rsid w:val="008B5C62"/>
    <w:rsid w:val="008C1348"/>
    <w:rsid w:val="008C1BE3"/>
    <w:rsid w:val="008C311B"/>
    <w:rsid w:val="008C36AC"/>
    <w:rsid w:val="008C4EB6"/>
    <w:rsid w:val="008C580E"/>
    <w:rsid w:val="008C7608"/>
    <w:rsid w:val="008C7FD8"/>
    <w:rsid w:val="008D3054"/>
    <w:rsid w:val="008D30B7"/>
    <w:rsid w:val="008D4924"/>
    <w:rsid w:val="008D495C"/>
    <w:rsid w:val="008D4F73"/>
    <w:rsid w:val="008D5764"/>
    <w:rsid w:val="008D66C5"/>
    <w:rsid w:val="008D68FC"/>
    <w:rsid w:val="008D756A"/>
    <w:rsid w:val="008E4405"/>
    <w:rsid w:val="008E6242"/>
    <w:rsid w:val="008E67A3"/>
    <w:rsid w:val="008F13B1"/>
    <w:rsid w:val="008F1F1D"/>
    <w:rsid w:val="008F2D95"/>
    <w:rsid w:val="008F35F0"/>
    <w:rsid w:val="008F457E"/>
    <w:rsid w:val="008F47BA"/>
    <w:rsid w:val="008F4A55"/>
    <w:rsid w:val="008F74FA"/>
    <w:rsid w:val="008F7BC2"/>
    <w:rsid w:val="0090042B"/>
    <w:rsid w:val="00900EDE"/>
    <w:rsid w:val="00902DA8"/>
    <w:rsid w:val="00903337"/>
    <w:rsid w:val="009041D2"/>
    <w:rsid w:val="009056F1"/>
    <w:rsid w:val="00906214"/>
    <w:rsid w:val="00906F6F"/>
    <w:rsid w:val="009128C0"/>
    <w:rsid w:val="00912904"/>
    <w:rsid w:val="00915A58"/>
    <w:rsid w:val="009168E1"/>
    <w:rsid w:val="009200BB"/>
    <w:rsid w:val="00920349"/>
    <w:rsid w:val="0092039A"/>
    <w:rsid w:val="009230AF"/>
    <w:rsid w:val="00923D29"/>
    <w:rsid w:val="009253A6"/>
    <w:rsid w:val="009260C9"/>
    <w:rsid w:val="00926102"/>
    <w:rsid w:val="009279B9"/>
    <w:rsid w:val="00931319"/>
    <w:rsid w:val="00932010"/>
    <w:rsid w:val="00933B20"/>
    <w:rsid w:val="00934F4B"/>
    <w:rsid w:val="00935175"/>
    <w:rsid w:val="00935589"/>
    <w:rsid w:val="00940993"/>
    <w:rsid w:val="00943C62"/>
    <w:rsid w:val="00944FDD"/>
    <w:rsid w:val="009451A1"/>
    <w:rsid w:val="00945568"/>
    <w:rsid w:val="009548A0"/>
    <w:rsid w:val="00957BCA"/>
    <w:rsid w:val="00962509"/>
    <w:rsid w:val="00964260"/>
    <w:rsid w:val="009658D7"/>
    <w:rsid w:val="0096735A"/>
    <w:rsid w:val="00967C7B"/>
    <w:rsid w:val="00971223"/>
    <w:rsid w:val="009720D4"/>
    <w:rsid w:val="00972BC6"/>
    <w:rsid w:val="00974820"/>
    <w:rsid w:val="009749D3"/>
    <w:rsid w:val="00974BDF"/>
    <w:rsid w:val="0097578C"/>
    <w:rsid w:val="009757AE"/>
    <w:rsid w:val="00976EFC"/>
    <w:rsid w:val="009812E6"/>
    <w:rsid w:val="00982498"/>
    <w:rsid w:val="00982B65"/>
    <w:rsid w:val="0098336A"/>
    <w:rsid w:val="009842D3"/>
    <w:rsid w:val="00984436"/>
    <w:rsid w:val="00984BBD"/>
    <w:rsid w:val="009853F5"/>
    <w:rsid w:val="0098576B"/>
    <w:rsid w:val="00985F92"/>
    <w:rsid w:val="00986E86"/>
    <w:rsid w:val="009870AA"/>
    <w:rsid w:val="009906F7"/>
    <w:rsid w:val="009917DD"/>
    <w:rsid w:val="00992FA0"/>
    <w:rsid w:val="0099399A"/>
    <w:rsid w:val="00994A82"/>
    <w:rsid w:val="00995B07"/>
    <w:rsid w:val="00996C0B"/>
    <w:rsid w:val="009972E6"/>
    <w:rsid w:val="009974D1"/>
    <w:rsid w:val="009A0357"/>
    <w:rsid w:val="009A28EC"/>
    <w:rsid w:val="009A2CFD"/>
    <w:rsid w:val="009A380D"/>
    <w:rsid w:val="009A3C0E"/>
    <w:rsid w:val="009A4C5B"/>
    <w:rsid w:val="009A6093"/>
    <w:rsid w:val="009A7648"/>
    <w:rsid w:val="009A79AD"/>
    <w:rsid w:val="009B008A"/>
    <w:rsid w:val="009B0E0C"/>
    <w:rsid w:val="009B2B8C"/>
    <w:rsid w:val="009B366D"/>
    <w:rsid w:val="009B580A"/>
    <w:rsid w:val="009B594D"/>
    <w:rsid w:val="009B5F55"/>
    <w:rsid w:val="009B74C0"/>
    <w:rsid w:val="009C0601"/>
    <w:rsid w:val="009C0A6E"/>
    <w:rsid w:val="009C1CB1"/>
    <w:rsid w:val="009C27FC"/>
    <w:rsid w:val="009C29C8"/>
    <w:rsid w:val="009C45B3"/>
    <w:rsid w:val="009C53D1"/>
    <w:rsid w:val="009C55E0"/>
    <w:rsid w:val="009D006D"/>
    <w:rsid w:val="009D2900"/>
    <w:rsid w:val="009D2E5E"/>
    <w:rsid w:val="009D3763"/>
    <w:rsid w:val="009D4353"/>
    <w:rsid w:val="009D4481"/>
    <w:rsid w:val="009D4584"/>
    <w:rsid w:val="009D4F34"/>
    <w:rsid w:val="009D5E0A"/>
    <w:rsid w:val="009D7B7A"/>
    <w:rsid w:val="009E055D"/>
    <w:rsid w:val="009E0EFB"/>
    <w:rsid w:val="009E13FE"/>
    <w:rsid w:val="009E1FEF"/>
    <w:rsid w:val="009E2062"/>
    <w:rsid w:val="009E2E53"/>
    <w:rsid w:val="009E3013"/>
    <w:rsid w:val="009E42E9"/>
    <w:rsid w:val="009F0225"/>
    <w:rsid w:val="009F047D"/>
    <w:rsid w:val="009F0663"/>
    <w:rsid w:val="009F0A45"/>
    <w:rsid w:val="009F0EEB"/>
    <w:rsid w:val="009F1B70"/>
    <w:rsid w:val="009F4DEB"/>
    <w:rsid w:val="009F6932"/>
    <w:rsid w:val="00A0067A"/>
    <w:rsid w:val="00A026CA"/>
    <w:rsid w:val="00A028BE"/>
    <w:rsid w:val="00A036ED"/>
    <w:rsid w:val="00A04176"/>
    <w:rsid w:val="00A063DC"/>
    <w:rsid w:val="00A12119"/>
    <w:rsid w:val="00A12E4F"/>
    <w:rsid w:val="00A13E0F"/>
    <w:rsid w:val="00A13E70"/>
    <w:rsid w:val="00A1658F"/>
    <w:rsid w:val="00A20277"/>
    <w:rsid w:val="00A22BA5"/>
    <w:rsid w:val="00A24AFC"/>
    <w:rsid w:val="00A2675C"/>
    <w:rsid w:val="00A3028C"/>
    <w:rsid w:val="00A31D0E"/>
    <w:rsid w:val="00A32BF2"/>
    <w:rsid w:val="00A32CD0"/>
    <w:rsid w:val="00A330A7"/>
    <w:rsid w:val="00A352DC"/>
    <w:rsid w:val="00A361E5"/>
    <w:rsid w:val="00A37030"/>
    <w:rsid w:val="00A37F8A"/>
    <w:rsid w:val="00A41273"/>
    <w:rsid w:val="00A41432"/>
    <w:rsid w:val="00A41610"/>
    <w:rsid w:val="00A41751"/>
    <w:rsid w:val="00A42223"/>
    <w:rsid w:val="00A42731"/>
    <w:rsid w:val="00A427D3"/>
    <w:rsid w:val="00A42E12"/>
    <w:rsid w:val="00A4578A"/>
    <w:rsid w:val="00A45B6C"/>
    <w:rsid w:val="00A500FC"/>
    <w:rsid w:val="00A50255"/>
    <w:rsid w:val="00A50288"/>
    <w:rsid w:val="00A51BF1"/>
    <w:rsid w:val="00A52449"/>
    <w:rsid w:val="00A52CE6"/>
    <w:rsid w:val="00A531F2"/>
    <w:rsid w:val="00A53ED2"/>
    <w:rsid w:val="00A5528E"/>
    <w:rsid w:val="00A55316"/>
    <w:rsid w:val="00A556AC"/>
    <w:rsid w:val="00A56C7F"/>
    <w:rsid w:val="00A56E47"/>
    <w:rsid w:val="00A56F3A"/>
    <w:rsid w:val="00A5767E"/>
    <w:rsid w:val="00A60034"/>
    <w:rsid w:val="00A60225"/>
    <w:rsid w:val="00A60C0F"/>
    <w:rsid w:val="00A61F23"/>
    <w:rsid w:val="00A62EF3"/>
    <w:rsid w:val="00A65304"/>
    <w:rsid w:val="00A67364"/>
    <w:rsid w:val="00A67635"/>
    <w:rsid w:val="00A73BC0"/>
    <w:rsid w:val="00A806B5"/>
    <w:rsid w:val="00A81D73"/>
    <w:rsid w:val="00A83310"/>
    <w:rsid w:val="00A84CCF"/>
    <w:rsid w:val="00A8627D"/>
    <w:rsid w:val="00A8675F"/>
    <w:rsid w:val="00A8679E"/>
    <w:rsid w:val="00A86946"/>
    <w:rsid w:val="00A90304"/>
    <w:rsid w:val="00A91D7F"/>
    <w:rsid w:val="00A91F2E"/>
    <w:rsid w:val="00A93629"/>
    <w:rsid w:val="00A9426A"/>
    <w:rsid w:val="00A94E60"/>
    <w:rsid w:val="00A96711"/>
    <w:rsid w:val="00A972C0"/>
    <w:rsid w:val="00A9737B"/>
    <w:rsid w:val="00AA0AE1"/>
    <w:rsid w:val="00AA14A9"/>
    <w:rsid w:val="00AA1DE3"/>
    <w:rsid w:val="00AA2B0E"/>
    <w:rsid w:val="00AA2D7F"/>
    <w:rsid w:val="00AA4687"/>
    <w:rsid w:val="00AA471B"/>
    <w:rsid w:val="00AA5DA8"/>
    <w:rsid w:val="00AA5F1A"/>
    <w:rsid w:val="00AA70E0"/>
    <w:rsid w:val="00AB3B17"/>
    <w:rsid w:val="00AB48AE"/>
    <w:rsid w:val="00AB575C"/>
    <w:rsid w:val="00AB7A44"/>
    <w:rsid w:val="00AC169A"/>
    <w:rsid w:val="00AC1A29"/>
    <w:rsid w:val="00AC27F8"/>
    <w:rsid w:val="00AC336A"/>
    <w:rsid w:val="00AC3407"/>
    <w:rsid w:val="00AC415D"/>
    <w:rsid w:val="00AC6BDD"/>
    <w:rsid w:val="00AD1A3E"/>
    <w:rsid w:val="00AD31C2"/>
    <w:rsid w:val="00AD3FF8"/>
    <w:rsid w:val="00AD45BC"/>
    <w:rsid w:val="00AD567E"/>
    <w:rsid w:val="00AD7043"/>
    <w:rsid w:val="00AD767D"/>
    <w:rsid w:val="00AE0BA7"/>
    <w:rsid w:val="00AE0E6A"/>
    <w:rsid w:val="00AE0E71"/>
    <w:rsid w:val="00AE1407"/>
    <w:rsid w:val="00AE167A"/>
    <w:rsid w:val="00AE211D"/>
    <w:rsid w:val="00AE29D6"/>
    <w:rsid w:val="00AE2FC3"/>
    <w:rsid w:val="00AE40D7"/>
    <w:rsid w:val="00AE6448"/>
    <w:rsid w:val="00AE6921"/>
    <w:rsid w:val="00AF0336"/>
    <w:rsid w:val="00AF0F6C"/>
    <w:rsid w:val="00AF149E"/>
    <w:rsid w:val="00AF19C0"/>
    <w:rsid w:val="00AF333E"/>
    <w:rsid w:val="00AF43E7"/>
    <w:rsid w:val="00AF45B2"/>
    <w:rsid w:val="00AF5126"/>
    <w:rsid w:val="00AF6A10"/>
    <w:rsid w:val="00AF7949"/>
    <w:rsid w:val="00B0011D"/>
    <w:rsid w:val="00B01812"/>
    <w:rsid w:val="00B04050"/>
    <w:rsid w:val="00B054D9"/>
    <w:rsid w:val="00B05599"/>
    <w:rsid w:val="00B05C23"/>
    <w:rsid w:val="00B06C74"/>
    <w:rsid w:val="00B109A7"/>
    <w:rsid w:val="00B10D60"/>
    <w:rsid w:val="00B12C7F"/>
    <w:rsid w:val="00B13A8C"/>
    <w:rsid w:val="00B158B7"/>
    <w:rsid w:val="00B15C19"/>
    <w:rsid w:val="00B16184"/>
    <w:rsid w:val="00B169B3"/>
    <w:rsid w:val="00B200B3"/>
    <w:rsid w:val="00B219DB"/>
    <w:rsid w:val="00B22B3C"/>
    <w:rsid w:val="00B23782"/>
    <w:rsid w:val="00B24626"/>
    <w:rsid w:val="00B265FF"/>
    <w:rsid w:val="00B26CD4"/>
    <w:rsid w:val="00B26D25"/>
    <w:rsid w:val="00B3029F"/>
    <w:rsid w:val="00B334E4"/>
    <w:rsid w:val="00B33A25"/>
    <w:rsid w:val="00B33A8E"/>
    <w:rsid w:val="00B35113"/>
    <w:rsid w:val="00B359D8"/>
    <w:rsid w:val="00B410FD"/>
    <w:rsid w:val="00B411E0"/>
    <w:rsid w:val="00B42553"/>
    <w:rsid w:val="00B42A54"/>
    <w:rsid w:val="00B4478C"/>
    <w:rsid w:val="00B45D22"/>
    <w:rsid w:val="00B50AE4"/>
    <w:rsid w:val="00B53D50"/>
    <w:rsid w:val="00B5444E"/>
    <w:rsid w:val="00B544D8"/>
    <w:rsid w:val="00B55AC4"/>
    <w:rsid w:val="00B57180"/>
    <w:rsid w:val="00B604CB"/>
    <w:rsid w:val="00B61680"/>
    <w:rsid w:val="00B61AB6"/>
    <w:rsid w:val="00B61C74"/>
    <w:rsid w:val="00B61E89"/>
    <w:rsid w:val="00B62147"/>
    <w:rsid w:val="00B64128"/>
    <w:rsid w:val="00B64130"/>
    <w:rsid w:val="00B64163"/>
    <w:rsid w:val="00B65F90"/>
    <w:rsid w:val="00B72168"/>
    <w:rsid w:val="00B723D4"/>
    <w:rsid w:val="00B72AAC"/>
    <w:rsid w:val="00B735C5"/>
    <w:rsid w:val="00B75EDF"/>
    <w:rsid w:val="00B77E69"/>
    <w:rsid w:val="00B800C7"/>
    <w:rsid w:val="00B81EB9"/>
    <w:rsid w:val="00B82AD9"/>
    <w:rsid w:val="00B83227"/>
    <w:rsid w:val="00B85A4E"/>
    <w:rsid w:val="00B906CF"/>
    <w:rsid w:val="00B90A4C"/>
    <w:rsid w:val="00B92ACF"/>
    <w:rsid w:val="00B92DD2"/>
    <w:rsid w:val="00B92F00"/>
    <w:rsid w:val="00B933E6"/>
    <w:rsid w:val="00BA1A83"/>
    <w:rsid w:val="00BA37D5"/>
    <w:rsid w:val="00BA43D7"/>
    <w:rsid w:val="00BB1638"/>
    <w:rsid w:val="00BB4937"/>
    <w:rsid w:val="00BB6B97"/>
    <w:rsid w:val="00BC1C7C"/>
    <w:rsid w:val="00BC26D5"/>
    <w:rsid w:val="00BC350F"/>
    <w:rsid w:val="00BC3BD1"/>
    <w:rsid w:val="00BC4287"/>
    <w:rsid w:val="00BC42D9"/>
    <w:rsid w:val="00BC48FF"/>
    <w:rsid w:val="00BC49A8"/>
    <w:rsid w:val="00BC5853"/>
    <w:rsid w:val="00BC7F4C"/>
    <w:rsid w:val="00BD0189"/>
    <w:rsid w:val="00BD0C0C"/>
    <w:rsid w:val="00BD0E65"/>
    <w:rsid w:val="00BD16DA"/>
    <w:rsid w:val="00BD45CF"/>
    <w:rsid w:val="00BD4D3B"/>
    <w:rsid w:val="00BD5A84"/>
    <w:rsid w:val="00BD63DE"/>
    <w:rsid w:val="00BD669D"/>
    <w:rsid w:val="00BE06E0"/>
    <w:rsid w:val="00BE0CF7"/>
    <w:rsid w:val="00BE12D3"/>
    <w:rsid w:val="00BE204F"/>
    <w:rsid w:val="00BE35B8"/>
    <w:rsid w:val="00BE60B0"/>
    <w:rsid w:val="00BE6FF0"/>
    <w:rsid w:val="00BE6FF5"/>
    <w:rsid w:val="00BE773E"/>
    <w:rsid w:val="00BE79B6"/>
    <w:rsid w:val="00BE7EF6"/>
    <w:rsid w:val="00BF0074"/>
    <w:rsid w:val="00BF160B"/>
    <w:rsid w:val="00BF227C"/>
    <w:rsid w:val="00BF2659"/>
    <w:rsid w:val="00BF2DC8"/>
    <w:rsid w:val="00BF5651"/>
    <w:rsid w:val="00BF6B30"/>
    <w:rsid w:val="00BF799C"/>
    <w:rsid w:val="00C00A54"/>
    <w:rsid w:val="00C0264A"/>
    <w:rsid w:val="00C030FE"/>
    <w:rsid w:val="00C03BFB"/>
    <w:rsid w:val="00C04F7A"/>
    <w:rsid w:val="00C068A6"/>
    <w:rsid w:val="00C069B0"/>
    <w:rsid w:val="00C07C00"/>
    <w:rsid w:val="00C1071F"/>
    <w:rsid w:val="00C10915"/>
    <w:rsid w:val="00C12EAA"/>
    <w:rsid w:val="00C13F2D"/>
    <w:rsid w:val="00C171AE"/>
    <w:rsid w:val="00C17384"/>
    <w:rsid w:val="00C17E9C"/>
    <w:rsid w:val="00C2117B"/>
    <w:rsid w:val="00C22247"/>
    <w:rsid w:val="00C23361"/>
    <w:rsid w:val="00C23CA4"/>
    <w:rsid w:val="00C23CDE"/>
    <w:rsid w:val="00C23D44"/>
    <w:rsid w:val="00C26F5F"/>
    <w:rsid w:val="00C300DD"/>
    <w:rsid w:val="00C30D63"/>
    <w:rsid w:val="00C30E90"/>
    <w:rsid w:val="00C3239E"/>
    <w:rsid w:val="00C35D44"/>
    <w:rsid w:val="00C35E86"/>
    <w:rsid w:val="00C36E8A"/>
    <w:rsid w:val="00C37926"/>
    <w:rsid w:val="00C37D6D"/>
    <w:rsid w:val="00C37FBB"/>
    <w:rsid w:val="00C418BD"/>
    <w:rsid w:val="00C41A07"/>
    <w:rsid w:val="00C4203B"/>
    <w:rsid w:val="00C4284E"/>
    <w:rsid w:val="00C44288"/>
    <w:rsid w:val="00C44932"/>
    <w:rsid w:val="00C454EA"/>
    <w:rsid w:val="00C459D2"/>
    <w:rsid w:val="00C470AE"/>
    <w:rsid w:val="00C501CB"/>
    <w:rsid w:val="00C50226"/>
    <w:rsid w:val="00C51CD5"/>
    <w:rsid w:val="00C5256C"/>
    <w:rsid w:val="00C52EE2"/>
    <w:rsid w:val="00C53E2E"/>
    <w:rsid w:val="00C54594"/>
    <w:rsid w:val="00C55CB1"/>
    <w:rsid w:val="00C566B5"/>
    <w:rsid w:val="00C56731"/>
    <w:rsid w:val="00C570B7"/>
    <w:rsid w:val="00C57F0E"/>
    <w:rsid w:val="00C602FF"/>
    <w:rsid w:val="00C60397"/>
    <w:rsid w:val="00C60F50"/>
    <w:rsid w:val="00C616C4"/>
    <w:rsid w:val="00C61790"/>
    <w:rsid w:val="00C64EA2"/>
    <w:rsid w:val="00C7261B"/>
    <w:rsid w:val="00C745F8"/>
    <w:rsid w:val="00C746FA"/>
    <w:rsid w:val="00C75BF1"/>
    <w:rsid w:val="00C77BAF"/>
    <w:rsid w:val="00C8053F"/>
    <w:rsid w:val="00C8375C"/>
    <w:rsid w:val="00C84688"/>
    <w:rsid w:val="00C8468D"/>
    <w:rsid w:val="00C85D16"/>
    <w:rsid w:val="00C8639B"/>
    <w:rsid w:val="00C8748D"/>
    <w:rsid w:val="00C87553"/>
    <w:rsid w:val="00C90B8E"/>
    <w:rsid w:val="00C92C1C"/>
    <w:rsid w:val="00C93053"/>
    <w:rsid w:val="00C93848"/>
    <w:rsid w:val="00C93F37"/>
    <w:rsid w:val="00C94320"/>
    <w:rsid w:val="00C95392"/>
    <w:rsid w:val="00C965B6"/>
    <w:rsid w:val="00CA4C86"/>
    <w:rsid w:val="00CA5564"/>
    <w:rsid w:val="00CA5984"/>
    <w:rsid w:val="00CA6F4E"/>
    <w:rsid w:val="00CA7EA1"/>
    <w:rsid w:val="00CA7EE4"/>
    <w:rsid w:val="00CB01B5"/>
    <w:rsid w:val="00CB1CB6"/>
    <w:rsid w:val="00CB25A6"/>
    <w:rsid w:val="00CB2FCD"/>
    <w:rsid w:val="00CB3D10"/>
    <w:rsid w:val="00CB4E7B"/>
    <w:rsid w:val="00CB58F8"/>
    <w:rsid w:val="00CB59B7"/>
    <w:rsid w:val="00CB5F12"/>
    <w:rsid w:val="00CB7B21"/>
    <w:rsid w:val="00CC032D"/>
    <w:rsid w:val="00CC0521"/>
    <w:rsid w:val="00CC12C0"/>
    <w:rsid w:val="00CC3690"/>
    <w:rsid w:val="00CC3928"/>
    <w:rsid w:val="00CC4E14"/>
    <w:rsid w:val="00CC5648"/>
    <w:rsid w:val="00CC6E14"/>
    <w:rsid w:val="00CD00B2"/>
    <w:rsid w:val="00CD1F8D"/>
    <w:rsid w:val="00CD2B85"/>
    <w:rsid w:val="00CD4382"/>
    <w:rsid w:val="00CD43C2"/>
    <w:rsid w:val="00CD4A7E"/>
    <w:rsid w:val="00CD4AF7"/>
    <w:rsid w:val="00CD4DA4"/>
    <w:rsid w:val="00CD633B"/>
    <w:rsid w:val="00CD6B34"/>
    <w:rsid w:val="00CD6F9F"/>
    <w:rsid w:val="00CD70B4"/>
    <w:rsid w:val="00CE4AAA"/>
    <w:rsid w:val="00CE54A3"/>
    <w:rsid w:val="00CE5D8F"/>
    <w:rsid w:val="00CF06DD"/>
    <w:rsid w:val="00CF1E57"/>
    <w:rsid w:val="00CF3051"/>
    <w:rsid w:val="00CF44DC"/>
    <w:rsid w:val="00CF4C32"/>
    <w:rsid w:val="00CF60D2"/>
    <w:rsid w:val="00CF7AC3"/>
    <w:rsid w:val="00D000CE"/>
    <w:rsid w:val="00D01A0C"/>
    <w:rsid w:val="00D01B83"/>
    <w:rsid w:val="00D01EB7"/>
    <w:rsid w:val="00D02091"/>
    <w:rsid w:val="00D03129"/>
    <w:rsid w:val="00D07AA0"/>
    <w:rsid w:val="00D1264D"/>
    <w:rsid w:val="00D13530"/>
    <w:rsid w:val="00D15957"/>
    <w:rsid w:val="00D165FD"/>
    <w:rsid w:val="00D168E1"/>
    <w:rsid w:val="00D16ACF"/>
    <w:rsid w:val="00D16E4D"/>
    <w:rsid w:val="00D17713"/>
    <w:rsid w:val="00D2041A"/>
    <w:rsid w:val="00D21DA7"/>
    <w:rsid w:val="00D22D44"/>
    <w:rsid w:val="00D230BF"/>
    <w:rsid w:val="00D23D1D"/>
    <w:rsid w:val="00D24103"/>
    <w:rsid w:val="00D3072D"/>
    <w:rsid w:val="00D311F6"/>
    <w:rsid w:val="00D31D1A"/>
    <w:rsid w:val="00D34C04"/>
    <w:rsid w:val="00D35E7E"/>
    <w:rsid w:val="00D35FAB"/>
    <w:rsid w:val="00D36C9A"/>
    <w:rsid w:val="00D3726B"/>
    <w:rsid w:val="00D37956"/>
    <w:rsid w:val="00D427DA"/>
    <w:rsid w:val="00D42EA8"/>
    <w:rsid w:val="00D44518"/>
    <w:rsid w:val="00D44AE5"/>
    <w:rsid w:val="00D47A2A"/>
    <w:rsid w:val="00D47FA9"/>
    <w:rsid w:val="00D502C7"/>
    <w:rsid w:val="00D50CEA"/>
    <w:rsid w:val="00D556C6"/>
    <w:rsid w:val="00D56BF5"/>
    <w:rsid w:val="00D56E05"/>
    <w:rsid w:val="00D5708F"/>
    <w:rsid w:val="00D571C6"/>
    <w:rsid w:val="00D62163"/>
    <w:rsid w:val="00D628C2"/>
    <w:rsid w:val="00D629E4"/>
    <w:rsid w:val="00D66246"/>
    <w:rsid w:val="00D707ED"/>
    <w:rsid w:val="00D70B36"/>
    <w:rsid w:val="00D71480"/>
    <w:rsid w:val="00D72501"/>
    <w:rsid w:val="00D7368D"/>
    <w:rsid w:val="00D76C65"/>
    <w:rsid w:val="00D8034C"/>
    <w:rsid w:val="00D81C11"/>
    <w:rsid w:val="00D8566A"/>
    <w:rsid w:val="00D8599B"/>
    <w:rsid w:val="00D903AA"/>
    <w:rsid w:val="00D904E7"/>
    <w:rsid w:val="00D90750"/>
    <w:rsid w:val="00D90C26"/>
    <w:rsid w:val="00D91009"/>
    <w:rsid w:val="00D92970"/>
    <w:rsid w:val="00D949B4"/>
    <w:rsid w:val="00D94D3E"/>
    <w:rsid w:val="00D95491"/>
    <w:rsid w:val="00D9734D"/>
    <w:rsid w:val="00DA20F6"/>
    <w:rsid w:val="00DA2D3E"/>
    <w:rsid w:val="00DA3D08"/>
    <w:rsid w:val="00DA4AAA"/>
    <w:rsid w:val="00DA66B0"/>
    <w:rsid w:val="00DA770C"/>
    <w:rsid w:val="00DA792E"/>
    <w:rsid w:val="00DB030E"/>
    <w:rsid w:val="00DB0AD6"/>
    <w:rsid w:val="00DB1041"/>
    <w:rsid w:val="00DB292B"/>
    <w:rsid w:val="00DB2E88"/>
    <w:rsid w:val="00DB3999"/>
    <w:rsid w:val="00DB4443"/>
    <w:rsid w:val="00DB45D2"/>
    <w:rsid w:val="00DB54E4"/>
    <w:rsid w:val="00DB57A9"/>
    <w:rsid w:val="00DB7440"/>
    <w:rsid w:val="00DC02D1"/>
    <w:rsid w:val="00DC1007"/>
    <w:rsid w:val="00DC1A68"/>
    <w:rsid w:val="00DC2943"/>
    <w:rsid w:val="00DC3584"/>
    <w:rsid w:val="00DC4D73"/>
    <w:rsid w:val="00DC5076"/>
    <w:rsid w:val="00DC6C74"/>
    <w:rsid w:val="00DC796A"/>
    <w:rsid w:val="00DD01DF"/>
    <w:rsid w:val="00DD234C"/>
    <w:rsid w:val="00DD2610"/>
    <w:rsid w:val="00DD2CE5"/>
    <w:rsid w:val="00DD4580"/>
    <w:rsid w:val="00DD533D"/>
    <w:rsid w:val="00DD5866"/>
    <w:rsid w:val="00DD5E3F"/>
    <w:rsid w:val="00DD6A0D"/>
    <w:rsid w:val="00DD7896"/>
    <w:rsid w:val="00DD7E79"/>
    <w:rsid w:val="00DE1283"/>
    <w:rsid w:val="00DE3B24"/>
    <w:rsid w:val="00DE408F"/>
    <w:rsid w:val="00DE74EF"/>
    <w:rsid w:val="00DE765E"/>
    <w:rsid w:val="00DF273A"/>
    <w:rsid w:val="00DF72BE"/>
    <w:rsid w:val="00E04154"/>
    <w:rsid w:val="00E07721"/>
    <w:rsid w:val="00E07E39"/>
    <w:rsid w:val="00E1084A"/>
    <w:rsid w:val="00E117C3"/>
    <w:rsid w:val="00E123B4"/>
    <w:rsid w:val="00E127AC"/>
    <w:rsid w:val="00E133C5"/>
    <w:rsid w:val="00E13CFD"/>
    <w:rsid w:val="00E150D9"/>
    <w:rsid w:val="00E15B9A"/>
    <w:rsid w:val="00E17905"/>
    <w:rsid w:val="00E17D7D"/>
    <w:rsid w:val="00E17EFC"/>
    <w:rsid w:val="00E21B34"/>
    <w:rsid w:val="00E255A7"/>
    <w:rsid w:val="00E2651C"/>
    <w:rsid w:val="00E301D6"/>
    <w:rsid w:val="00E31989"/>
    <w:rsid w:val="00E3415B"/>
    <w:rsid w:val="00E35AB7"/>
    <w:rsid w:val="00E35F3C"/>
    <w:rsid w:val="00E4033C"/>
    <w:rsid w:val="00E42D2E"/>
    <w:rsid w:val="00E430AF"/>
    <w:rsid w:val="00E4324B"/>
    <w:rsid w:val="00E434B8"/>
    <w:rsid w:val="00E43975"/>
    <w:rsid w:val="00E43B42"/>
    <w:rsid w:val="00E44873"/>
    <w:rsid w:val="00E46797"/>
    <w:rsid w:val="00E525F0"/>
    <w:rsid w:val="00E53DDE"/>
    <w:rsid w:val="00E573CE"/>
    <w:rsid w:val="00E60055"/>
    <w:rsid w:val="00E61322"/>
    <w:rsid w:val="00E62A81"/>
    <w:rsid w:val="00E6319C"/>
    <w:rsid w:val="00E63FDB"/>
    <w:rsid w:val="00E64A73"/>
    <w:rsid w:val="00E6692B"/>
    <w:rsid w:val="00E669C3"/>
    <w:rsid w:val="00E70065"/>
    <w:rsid w:val="00E70A23"/>
    <w:rsid w:val="00E7126A"/>
    <w:rsid w:val="00E717F7"/>
    <w:rsid w:val="00E7206A"/>
    <w:rsid w:val="00E72330"/>
    <w:rsid w:val="00E72B8E"/>
    <w:rsid w:val="00E75295"/>
    <w:rsid w:val="00E759B8"/>
    <w:rsid w:val="00E76B27"/>
    <w:rsid w:val="00E80DD1"/>
    <w:rsid w:val="00E8346D"/>
    <w:rsid w:val="00E83603"/>
    <w:rsid w:val="00E86023"/>
    <w:rsid w:val="00E90306"/>
    <w:rsid w:val="00E91B60"/>
    <w:rsid w:val="00E925F1"/>
    <w:rsid w:val="00E93B8E"/>
    <w:rsid w:val="00E9402C"/>
    <w:rsid w:val="00E94B1B"/>
    <w:rsid w:val="00E9530D"/>
    <w:rsid w:val="00E9719E"/>
    <w:rsid w:val="00EA0CF1"/>
    <w:rsid w:val="00EA0D55"/>
    <w:rsid w:val="00EA5103"/>
    <w:rsid w:val="00EB0CF1"/>
    <w:rsid w:val="00EB1B4F"/>
    <w:rsid w:val="00EB4C22"/>
    <w:rsid w:val="00EB6CC8"/>
    <w:rsid w:val="00EC07EA"/>
    <w:rsid w:val="00EC1080"/>
    <w:rsid w:val="00EC1C75"/>
    <w:rsid w:val="00EC1D01"/>
    <w:rsid w:val="00EC36D4"/>
    <w:rsid w:val="00ED1269"/>
    <w:rsid w:val="00ED1335"/>
    <w:rsid w:val="00ED48A8"/>
    <w:rsid w:val="00ED4F16"/>
    <w:rsid w:val="00ED79BF"/>
    <w:rsid w:val="00ED7DDB"/>
    <w:rsid w:val="00EE0059"/>
    <w:rsid w:val="00EE1802"/>
    <w:rsid w:val="00EE4340"/>
    <w:rsid w:val="00EE47E7"/>
    <w:rsid w:val="00EE56B7"/>
    <w:rsid w:val="00EE5F30"/>
    <w:rsid w:val="00EE6D7E"/>
    <w:rsid w:val="00EE716B"/>
    <w:rsid w:val="00EF1D77"/>
    <w:rsid w:val="00EF2C03"/>
    <w:rsid w:val="00EF38E5"/>
    <w:rsid w:val="00EF4CDC"/>
    <w:rsid w:val="00EF559A"/>
    <w:rsid w:val="00EF61D6"/>
    <w:rsid w:val="00EF6240"/>
    <w:rsid w:val="00F0158F"/>
    <w:rsid w:val="00F027EA"/>
    <w:rsid w:val="00F03008"/>
    <w:rsid w:val="00F03505"/>
    <w:rsid w:val="00F05183"/>
    <w:rsid w:val="00F05690"/>
    <w:rsid w:val="00F062A7"/>
    <w:rsid w:val="00F072FD"/>
    <w:rsid w:val="00F10FF5"/>
    <w:rsid w:val="00F11193"/>
    <w:rsid w:val="00F14E0A"/>
    <w:rsid w:val="00F1690C"/>
    <w:rsid w:val="00F1721A"/>
    <w:rsid w:val="00F20B20"/>
    <w:rsid w:val="00F20D19"/>
    <w:rsid w:val="00F21F62"/>
    <w:rsid w:val="00F22132"/>
    <w:rsid w:val="00F22D48"/>
    <w:rsid w:val="00F23257"/>
    <w:rsid w:val="00F31135"/>
    <w:rsid w:val="00F316F1"/>
    <w:rsid w:val="00F36CFE"/>
    <w:rsid w:val="00F43C02"/>
    <w:rsid w:val="00F442EA"/>
    <w:rsid w:val="00F45375"/>
    <w:rsid w:val="00F543A1"/>
    <w:rsid w:val="00F55681"/>
    <w:rsid w:val="00F562BC"/>
    <w:rsid w:val="00F568D5"/>
    <w:rsid w:val="00F578F2"/>
    <w:rsid w:val="00F60744"/>
    <w:rsid w:val="00F61EC2"/>
    <w:rsid w:val="00F620B8"/>
    <w:rsid w:val="00F62C27"/>
    <w:rsid w:val="00F62D21"/>
    <w:rsid w:val="00F6438D"/>
    <w:rsid w:val="00F64834"/>
    <w:rsid w:val="00F649DB"/>
    <w:rsid w:val="00F652BE"/>
    <w:rsid w:val="00F673AB"/>
    <w:rsid w:val="00F716AD"/>
    <w:rsid w:val="00F71EA6"/>
    <w:rsid w:val="00F73CDF"/>
    <w:rsid w:val="00F77D99"/>
    <w:rsid w:val="00F800BE"/>
    <w:rsid w:val="00F817C4"/>
    <w:rsid w:val="00F81AFD"/>
    <w:rsid w:val="00F827CA"/>
    <w:rsid w:val="00F84BAB"/>
    <w:rsid w:val="00F85F7F"/>
    <w:rsid w:val="00F86140"/>
    <w:rsid w:val="00F87180"/>
    <w:rsid w:val="00F906DD"/>
    <w:rsid w:val="00F9099D"/>
    <w:rsid w:val="00F95AE8"/>
    <w:rsid w:val="00F9609C"/>
    <w:rsid w:val="00FA1062"/>
    <w:rsid w:val="00FA164C"/>
    <w:rsid w:val="00FA16C2"/>
    <w:rsid w:val="00FA23D2"/>
    <w:rsid w:val="00FA5952"/>
    <w:rsid w:val="00FA5C69"/>
    <w:rsid w:val="00FA695F"/>
    <w:rsid w:val="00FB0017"/>
    <w:rsid w:val="00FB0213"/>
    <w:rsid w:val="00FB6435"/>
    <w:rsid w:val="00FB7380"/>
    <w:rsid w:val="00FC211A"/>
    <w:rsid w:val="00FC39A7"/>
    <w:rsid w:val="00FC4D32"/>
    <w:rsid w:val="00FC62EC"/>
    <w:rsid w:val="00FD19BC"/>
    <w:rsid w:val="00FD1C5D"/>
    <w:rsid w:val="00FD342F"/>
    <w:rsid w:val="00FD38FC"/>
    <w:rsid w:val="00FE010B"/>
    <w:rsid w:val="00FE205A"/>
    <w:rsid w:val="00FE33A6"/>
    <w:rsid w:val="00FE4995"/>
    <w:rsid w:val="00FE76BE"/>
    <w:rsid w:val="00FE7888"/>
    <w:rsid w:val="00FE7DFC"/>
    <w:rsid w:val="00FF0A90"/>
    <w:rsid w:val="00FF28BB"/>
    <w:rsid w:val="00FF3D5C"/>
    <w:rsid w:val="00FF4476"/>
    <w:rsid w:val="00FF6B5D"/>
    <w:rsid w:val="00FF7ED4"/>
    <w:rsid w:val="05763494"/>
    <w:rsid w:val="078272A1"/>
    <w:rsid w:val="085E55CF"/>
    <w:rsid w:val="0A3C2F3F"/>
    <w:rsid w:val="0E143F03"/>
    <w:rsid w:val="1E474F3E"/>
    <w:rsid w:val="1E5D3AAB"/>
    <w:rsid w:val="1EC3666C"/>
    <w:rsid w:val="200B16A4"/>
    <w:rsid w:val="206E2287"/>
    <w:rsid w:val="24E261A4"/>
    <w:rsid w:val="2F152FE5"/>
    <w:rsid w:val="32AA4A33"/>
    <w:rsid w:val="3A2272B7"/>
    <w:rsid w:val="433B34D6"/>
    <w:rsid w:val="476E0461"/>
    <w:rsid w:val="4CDA7C98"/>
    <w:rsid w:val="4EB82B4F"/>
    <w:rsid w:val="53F44615"/>
    <w:rsid w:val="567D2A2A"/>
    <w:rsid w:val="5DAD2094"/>
    <w:rsid w:val="629A2DA5"/>
    <w:rsid w:val="62BA105E"/>
    <w:rsid w:val="650214EA"/>
    <w:rsid w:val="6A0A523B"/>
    <w:rsid w:val="6D4929A7"/>
    <w:rsid w:val="74DB545F"/>
    <w:rsid w:val="77A30227"/>
    <w:rsid w:val="7B2A24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iPriority="39" w:semiHidden="0" w:name="toc 1" w:locked="1"/>
    <w:lsdException w:uiPriority="39" w:semiHidden="0"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4"/>
    <w:qFormat/>
    <w:locked/>
    <w:uiPriority w:val="99"/>
    <w:pPr>
      <w:keepNext/>
      <w:keepLines/>
      <w:spacing w:before="260" w:after="260" w:line="416" w:lineRule="auto"/>
      <w:outlineLvl w:val="1"/>
    </w:pPr>
    <w:rPr>
      <w:rFonts w:ascii="Cambria" w:hAnsi="Cambria"/>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Document Map"/>
    <w:basedOn w:val="1"/>
    <w:link w:val="25"/>
    <w:semiHidden/>
    <w:qFormat/>
    <w:uiPriority w:val="99"/>
    <w:pPr>
      <w:shd w:val="clear" w:color="auto" w:fill="000080"/>
    </w:pPr>
    <w:rPr>
      <w:kern w:val="0"/>
      <w:sz w:val="2"/>
      <w:szCs w:val="20"/>
    </w:rPr>
  </w:style>
  <w:style w:type="paragraph" w:styleId="5">
    <w:name w:val="Body Text"/>
    <w:basedOn w:val="1"/>
    <w:link w:val="26"/>
    <w:qFormat/>
    <w:uiPriority w:val="99"/>
    <w:pPr>
      <w:spacing w:after="120"/>
    </w:pPr>
    <w:rPr>
      <w:sz w:val="24"/>
      <w:szCs w:val="20"/>
    </w:rPr>
  </w:style>
  <w:style w:type="paragraph" w:styleId="6">
    <w:name w:val="Body Text Indent"/>
    <w:basedOn w:val="1"/>
    <w:link w:val="39"/>
    <w:locked/>
    <w:uiPriority w:val="99"/>
    <w:pPr>
      <w:spacing w:after="120"/>
      <w:ind w:left="420" w:leftChars="200"/>
    </w:pPr>
  </w:style>
  <w:style w:type="paragraph" w:styleId="7">
    <w:name w:val="Plain Text"/>
    <w:basedOn w:val="1"/>
    <w:link w:val="27"/>
    <w:uiPriority w:val="99"/>
    <w:pPr>
      <w:jc w:val="left"/>
    </w:pPr>
    <w:rPr>
      <w:rFonts w:ascii="宋体" w:hAnsi="Courier New"/>
      <w:kern w:val="0"/>
      <w:szCs w:val="20"/>
    </w:rPr>
  </w:style>
  <w:style w:type="paragraph" w:styleId="8">
    <w:name w:val="Date"/>
    <w:basedOn w:val="1"/>
    <w:next w:val="1"/>
    <w:link w:val="28"/>
    <w:qFormat/>
    <w:uiPriority w:val="99"/>
    <w:pPr>
      <w:ind w:left="2500" w:leftChars="2500"/>
    </w:pPr>
    <w:rPr>
      <w:rFonts w:eastAsia="黑体"/>
      <w:kern w:val="0"/>
      <w:sz w:val="24"/>
      <w:szCs w:val="20"/>
    </w:rPr>
  </w:style>
  <w:style w:type="paragraph" w:styleId="9">
    <w:name w:val="Balloon Text"/>
    <w:basedOn w:val="1"/>
    <w:link w:val="29"/>
    <w:semiHidden/>
    <w:qFormat/>
    <w:uiPriority w:val="99"/>
    <w:rPr>
      <w:sz w:val="18"/>
      <w:szCs w:val="20"/>
    </w:rPr>
  </w:style>
  <w:style w:type="paragraph" w:styleId="10">
    <w:name w:val="footer"/>
    <w:basedOn w:val="1"/>
    <w:link w:val="30"/>
    <w:qFormat/>
    <w:uiPriority w:val="99"/>
    <w:pPr>
      <w:tabs>
        <w:tab w:val="center" w:pos="4153"/>
        <w:tab w:val="right" w:pos="8306"/>
      </w:tabs>
      <w:snapToGrid w:val="0"/>
      <w:jc w:val="left"/>
    </w:pPr>
    <w:rPr>
      <w:sz w:val="18"/>
      <w:szCs w:val="20"/>
    </w:rPr>
  </w:style>
  <w:style w:type="paragraph" w:styleId="11">
    <w:name w:val="header"/>
    <w:basedOn w:val="1"/>
    <w:link w:val="31"/>
    <w:uiPriority w:val="99"/>
    <w:pPr>
      <w:pBdr>
        <w:bottom w:val="single" w:color="auto" w:sz="6" w:space="1"/>
      </w:pBdr>
      <w:tabs>
        <w:tab w:val="center" w:pos="4153"/>
        <w:tab w:val="right" w:pos="8306"/>
      </w:tabs>
      <w:snapToGrid w:val="0"/>
      <w:jc w:val="center"/>
    </w:pPr>
    <w:rPr>
      <w:sz w:val="18"/>
      <w:szCs w:val="20"/>
    </w:rPr>
  </w:style>
  <w:style w:type="paragraph" w:styleId="12">
    <w:name w:val="toc 1"/>
    <w:basedOn w:val="1"/>
    <w:next w:val="1"/>
    <w:unhideWhenUsed/>
    <w:qFormat/>
    <w:locked/>
    <w:uiPriority w:val="39"/>
  </w:style>
  <w:style w:type="paragraph" w:styleId="13">
    <w:name w:val="toc 2"/>
    <w:basedOn w:val="1"/>
    <w:next w:val="1"/>
    <w:unhideWhenUsed/>
    <w:locked/>
    <w:uiPriority w:val="39"/>
    <w:pPr>
      <w:ind w:left="420" w:leftChars="200"/>
    </w:pPr>
  </w:style>
  <w:style w:type="paragraph" w:styleId="14">
    <w:name w:val="HTML Preformatted"/>
    <w:basedOn w:val="1"/>
    <w:link w:val="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Normal (Web)"/>
    <w:basedOn w:val="1"/>
    <w:semiHidden/>
    <w:unhideWhenUsed/>
    <w:locked/>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6"/>
    <w:link w:val="42"/>
    <w:semiHidden/>
    <w:unhideWhenUsed/>
    <w:qFormat/>
    <w:locked/>
    <w:uiPriority w:val="99"/>
    <w:pPr>
      <w:ind w:firstLine="420" w:firstLineChars="200"/>
    </w:p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page number"/>
    <w:uiPriority w:val="99"/>
    <w:rPr>
      <w:rFonts w:cs="Times New Roman"/>
    </w:rPr>
  </w:style>
  <w:style w:type="character" w:styleId="21">
    <w:name w:val="FollowedHyperlink"/>
    <w:uiPriority w:val="99"/>
    <w:rPr>
      <w:rFonts w:cs="Times New Roman"/>
      <w:color w:val="800080"/>
      <w:u w:val="single"/>
    </w:rPr>
  </w:style>
  <w:style w:type="character" w:styleId="22">
    <w:name w:val="Hyperlink"/>
    <w:uiPriority w:val="99"/>
    <w:rPr>
      <w:rFonts w:cs="Times New Roman"/>
      <w:color w:val="0000FF"/>
      <w:u w:val="single"/>
    </w:rPr>
  </w:style>
  <w:style w:type="character" w:customStyle="1" w:styleId="23">
    <w:name w:val="标题 1 字符"/>
    <w:link w:val="2"/>
    <w:qFormat/>
    <w:locked/>
    <w:uiPriority w:val="99"/>
    <w:rPr>
      <w:rFonts w:cs="Times New Roman"/>
      <w:b/>
      <w:kern w:val="44"/>
      <w:sz w:val="44"/>
    </w:rPr>
  </w:style>
  <w:style w:type="character" w:customStyle="1" w:styleId="24">
    <w:name w:val="标题 2 字符"/>
    <w:link w:val="3"/>
    <w:qFormat/>
    <w:locked/>
    <w:uiPriority w:val="99"/>
    <w:rPr>
      <w:rFonts w:ascii="Cambria" w:hAnsi="Cambria" w:eastAsia="宋体" w:cs="Times New Roman"/>
      <w:b/>
      <w:kern w:val="2"/>
      <w:sz w:val="32"/>
    </w:rPr>
  </w:style>
  <w:style w:type="character" w:customStyle="1" w:styleId="25">
    <w:name w:val="文档结构图 字符"/>
    <w:link w:val="4"/>
    <w:semiHidden/>
    <w:qFormat/>
    <w:locked/>
    <w:uiPriority w:val="99"/>
    <w:rPr>
      <w:rFonts w:cs="Times New Roman"/>
      <w:sz w:val="2"/>
    </w:rPr>
  </w:style>
  <w:style w:type="character" w:customStyle="1" w:styleId="26">
    <w:name w:val="正文文本 字符"/>
    <w:link w:val="5"/>
    <w:qFormat/>
    <w:locked/>
    <w:uiPriority w:val="99"/>
    <w:rPr>
      <w:rFonts w:cs="Times New Roman"/>
      <w:kern w:val="2"/>
      <w:sz w:val="24"/>
    </w:rPr>
  </w:style>
  <w:style w:type="character" w:customStyle="1" w:styleId="27">
    <w:name w:val="纯文本 字符"/>
    <w:link w:val="7"/>
    <w:semiHidden/>
    <w:qFormat/>
    <w:locked/>
    <w:uiPriority w:val="99"/>
    <w:rPr>
      <w:rFonts w:ascii="宋体" w:hAnsi="Courier New" w:cs="Times New Roman"/>
      <w:sz w:val="21"/>
    </w:rPr>
  </w:style>
  <w:style w:type="character" w:customStyle="1" w:styleId="28">
    <w:name w:val="日期 字符"/>
    <w:link w:val="8"/>
    <w:locked/>
    <w:uiPriority w:val="99"/>
    <w:rPr>
      <w:rFonts w:eastAsia="黑体" w:cs="Times New Roman"/>
      <w:sz w:val="24"/>
    </w:rPr>
  </w:style>
  <w:style w:type="character" w:customStyle="1" w:styleId="29">
    <w:name w:val="批注框文本 字符"/>
    <w:link w:val="9"/>
    <w:semiHidden/>
    <w:locked/>
    <w:uiPriority w:val="99"/>
    <w:rPr>
      <w:rFonts w:cs="Times New Roman"/>
      <w:kern w:val="2"/>
      <w:sz w:val="18"/>
    </w:rPr>
  </w:style>
  <w:style w:type="character" w:customStyle="1" w:styleId="30">
    <w:name w:val="页脚 字符"/>
    <w:link w:val="10"/>
    <w:qFormat/>
    <w:locked/>
    <w:uiPriority w:val="99"/>
    <w:rPr>
      <w:rFonts w:cs="Times New Roman"/>
      <w:kern w:val="2"/>
      <w:sz w:val="18"/>
    </w:rPr>
  </w:style>
  <w:style w:type="character" w:customStyle="1" w:styleId="31">
    <w:name w:val="页眉 字符"/>
    <w:link w:val="11"/>
    <w:locked/>
    <w:uiPriority w:val="99"/>
    <w:rPr>
      <w:rFonts w:cs="Times New Roman"/>
      <w:kern w:val="2"/>
      <w:sz w:val="18"/>
    </w:rPr>
  </w:style>
  <w:style w:type="character" w:customStyle="1" w:styleId="32">
    <w:name w:val="HTML 预设格式 字符"/>
    <w:link w:val="14"/>
    <w:locked/>
    <w:uiPriority w:val="99"/>
    <w:rPr>
      <w:rFonts w:ascii="宋体" w:eastAsia="宋体" w:cs="Times New Roman"/>
      <w:sz w:val="24"/>
    </w:rPr>
  </w:style>
  <w:style w:type="paragraph" w:customStyle="1" w:styleId="33">
    <w:name w:val="此正文"/>
    <w:basedOn w:val="1"/>
    <w:uiPriority w:val="99"/>
    <w:pPr>
      <w:spacing w:line="360" w:lineRule="auto"/>
      <w:ind w:firstLine="200" w:firstLineChars="200"/>
    </w:pPr>
    <w:rPr>
      <w:sz w:val="24"/>
      <w:szCs w:val="20"/>
    </w:rPr>
  </w:style>
  <w:style w:type="paragraph" w:customStyle="1" w:styleId="34">
    <w:name w:val="Default"/>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35">
    <w:name w:val="Char Char Char Char Char Char Char"/>
    <w:basedOn w:val="1"/>
    <w:semiHidden/>
    <w:qFormat/>
    <w:uiPriority w:val="99"/>
    <w:rPr>
      <w:rFonts w:ascii="Tahoma" w:hAnsi="Tahoma" w:cs="仿宋_GB2312"/>
      <w:sz w:val="24"/>
      <w:szCs w:val="28"/>
    </w:rPr>
  </w:style>
  <w:style w:type="paragraph" w:customStyle="1" w:styleId="36">
    <w:name w:val="Char Char Char Char"/>
    <w:basedOn w:val="4"/>
    <w:qFormat/>
    <w:uiPriority w:val="99"/>
    <w:pPr>
      <w:adjustRightInd w:val="0"/>
      <w:snapToGrid w:val="0"/>
      <w:spacing w:line="360" w:lineRule="auto"/>
    </w:pPr>
    <w:rPr>
      <w:rFonts w:ascii="Tahoma" w:hAnsi="Tahoma"/>
      <w:sz w:val="24"/>
    </w:rPr>
  </w:style>
  <w:style w:type="paragraph" w:customStyle="1" w:styleId="37">
    <w:name w:val="Char1"/>
    <w:basedOn w:val="1"/>
    <w:uiPriority w:val="99"/>
    <w:rPr>
      <w:rFonts w:ascii="Tahoma" w:hAnsi="Tahoma"/>
      <w:sz w:val="24"/>
      <w:szCs w:val="20"/>
    </w:rPr>
  </w:style>
  <w:style w:type="paragraph" w:customStyle="1" w:styleId="38">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39">
    <w:name w:val="正文文本缩进 字符"/>
    <w:link w:val="6"/>
    <w:semiHidden/>
    <w:qFormat/>
    <w:uiPriority w:val="99"/>
    <w:rPr>
      <w:szCs w:val="24"/>
    </w:rPr>
  </w:style>
  <w:style w:type="paragraph" w:customStyle="1" w:styleId="40">
    <w:name w:val="列出段落1"/>
    <w:basedOn w:val="1"/>
    <w:uiPriority w:val="99"/>
    <w:pPr>
      <w:tabs>
        <w:tab w:val="left" w:pos="680"/>
      </w:tabs>
      <w:snapToGrid w:val="0"/>
      <w:spacing w:line="400" w:lineRule="exact"/>
    </w:pPr>
    <w:rPr>
      <w:rFonts w:ascii="宋体" w:hAnsi="宋体"/>
      <w:spacing w:val="-2"/>
      <w:sz w:val="24"/>
    </w:rPr>
  </w:style>
  <w:style w:type="paragraph" w:styleId="41">
    <w:name w:val="List Paragraph"/>
    <w:basedOn w:val="1"/>
    <w:qFormat/>
    <w:uiPriority w:val="34"/>
    <w:pPr>
      <w:ind w:firstLine="420" w:firstLineChars="200"/>
    </w:pPr>
  </w:style>
  <w:style w:type="character" w:customStyle="1" w:styleId="42">
    <w:name w:val="正文首行缩进 2 字符"/>
    <w:basedOn w:val="39"/>
    <w:link w:val="16"/>
    <w:semiHidden/>
    <w:qFormat/>
    <w:uiPriority w:val="99"/>
    <w:rPr>
      <w:kern w:val="2"/>
      <w:sz w:val="21"/>
      <w:szCs w:val="24"/>
    </w:rPr>
  </w:style>
  <w:style w:type="character" w:customStyle="1" w:styleId="43">
    <w:name w:val="apple-converted-space"/>
    <w:basedOn w:val="19"/>
    <w:uiPriority w:val="0"/>
  </w:style>
  <w:style w:type="paragraph" w:customStyle="1" w:styleId="44">
    <w:name w:val="普通正文"/>
    <w:basedOn w:val="1"/>
    <w:qFormat/>
    <w:uiPriority w:val="0"/>
    <w:pPr>
      <w:adjustRightInd w:val="0"/>
      <w:spacing w:before="120" w:after="120" w:line="360" w:lineRule="auto"/>
      <w:ind w:firstLine="480"/>
      <w:jc w:val="left"/>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5ADAF-4B22-4FDD-81A8-578E6C86937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2426</Words>
  <Characters>13833</Characters>
  <Lines>115</Lines>
  <Paragraphs>32</Paragraphs>
  <TotalTime>177</TotalTime>
  <ScaleCrop>false</ScaleCrop>
  <LinksUpToDate>false</LinksUpToDate>
  <CharactersWithSpaces>16227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2020-01-07T08:09:00Z</dcterms:created>
  <dc:creator>USER</dc:creator>
  <cp:lastModifiedBy>钰榕</cp:lastModifiedBy>
  <cp:lastPrinted>2020-06-18T06:16:00Z</cp:lastPrinted>
  <dcterms:modified xsi:type="dcterms:W3CDTF">2020-06-23T06:35:08Z</dcterms:modified>
  <dc:title>招  标  文  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